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EAE6D" w14:textId="77777777" w:rsidR="009B2966" w:rsidRPr="001F0712" w:rsidRDefault="009B2966" w:rsidP="00F17B81">
      <w:pPr>
        <w:jc w:val="center"/>
        <w:rPr>
          <w:rFonts w:ascii="Arial" w:hAnsi="Arial" w:cs="Arial"/>
          <w:b/>
          <w:sz w:val="48"/>
          <w:szCs w:val="48"/>
        </w:rPr>
      </w:pPr>
      <w:r w:rsidRPr="001F0712">
        <w:rPr>
          <w:rFonts w:ascii="Arial" w:hAnsi="Arial" w:cs="Arial"/>
          <w:b/>
          <w:sz w:val="48"/>
          <w:szCs w:val="48"/>
        </w:rPr>
        <w:t>TYNE AND WEAR FIRE AND RESCUE AUTHORITY</w:t>
      </w:r>
    </w:p>
    <w:p w14:paraId="7096782B" w14:textId="77777777" w:rsidR="009B2966" w:rsidRPr="001F0712" w:rsidRDefault="009B2966" w:rsidP="00F17B81">
      <w:pPr>
        <w:jc w:val="center"/>
        <w:rPr>
          <w:rFonts w:ascii="Arial" w:hAnsi="Arial" w:cs="Arial"/>
          <w:b/>
          <w:sz w:val="48"/>
          <w:szCs w:val="48"/>
        </w:rPr>
      </w:pPr>
    </w:p>
    <w:p w14:paraId="578CF67E" w14:textId="1F329372" w:rsidR="00742478" w:rsidRPr="001F0712" w:rsidRDefault="009B2966" w:rsidP="00F17B81">
      <w:pPr>
        <w:jc w:val="center"/>
        <w:rPr>
          <w:rFonts w:ascii="Arial" w:hAnsi="Arial" w:cs="Arial"/>
          <w:b/>
          <w:sz w:val="40"/>
          <w:szCs w:val="40"/>
        </w:rPr>
      </w:pPr>
      <w:r w:rsidRPr="001F0712">
        <w:rPr>
          <w:rFonts w:ascii="Arial" w:hAnsi="Arial" w:cs="Arial"/>
          <w:b/>
          <w:sz w:val="40"/>
          <w:szCs w:val="40"/>
        </w:rPr>
        <w:t>PAY POLICY STATEMENT</w:t>
      </w:r>
      <w:r w:rsidR="00ED1B95" w:rsidRPr="001F0712">
        <w:rPr>
          <w:rFonts w:ascii="Arial" w:hAnsi="Arial" w:cs="Arial"/>
          <w:b/>
          <w:sz w:val="40"/>
          <w:szCs w:val="40"/>
        </w:rPr>
        <w:t xml:space="preserve"> </w:t>
      </w:r>
      <w:r w:rsidR="00DA2DB8" w:rsidRPr="001F0712">
        <w:rPr>
          <w:rFonts w:ascii="Arial" w:hAnsi="Arial" w:cs="Arial"/>
          <w:b/>
          <w:sz w:val="40"/>
          <w:szCs w:val="40"/>
        </w:rPr>
        <w:t>202</w:t>
      </w:r>
      <w:r w:rsidR="004700BC" w:rsidRPr="001F0712">
        <w:rPr>
          <w:rFonts w:ascii="Arial" w:hAnsi="Arial" w:cs="Arial"/>
          <w:b/>
          <w:sz w:val="40"/>
          <w:szCs w:val="40"/>
        </w:rPr>
        <w:t>5</w:t>
      </w:r>
      <w:r w:rsidR="00DA2DB8" w:rsidRPr="001F0712">
        <w:rPr>
          <w:rFonts w:ascii="Arial" w:hAnsi="Arial" w:cs="Arial"/>
          <w:b/>
          <w:sz w:val="40"/>
          <w:szCs w:val="40"/>
        </w:rPr>
        <w:t>/</w:t>
      </w:r>
      <w:r w:rsidR="00364FBE" w:rsidRPr="001F0712">
        <w:rPr>
          <w:rFonts w:ascii="Arial" w:hAnsi="Arial" w:cs="Arial"/>
          <w:b/>
          <w:sz w:val="40"/>
          <w:szCs w:val="40"/>
        </w:rPr>
        <w:t>2</w:t>
      </w:r>
      <w:r w:rsidR="004700BC" w:rsidRPr="001F0712">
        <w:rPr>
          <w:rFonts w:ascii="Arial" w:hAnsi="Arial" w:cs="Arial"/>
          <w:b/>
          <w:sz w:val="40"/>
          <w:szCs w:val="40"/>
        </w:rPr>
        <w:t>6</w:t>
      </w:r>
    </w:p>
    <w:p w14:paraId="55D916C4" w14:textId="77777777" w:rsidR="00827BBD" w:rsidRPr="001F0712" w:rsidRDefault="00827BBD" w:rsidP="001F16C7">
      <w:pPr>
        <w:rPr>
          <w:rFonts w:ascii="Arial" w:hAnsi="Arial" w:cs="Arial"/>
        </w:rPr>
      </w:pPr>
    </w:p>
    <w:sdt>
      <w:sdtPr>
        <w:rPr>
          <w:rFonts w:ascii="Arial" w:eastAsia="Times New Roman" w:hAnsi="Arial" w:cs="Arial"/>
          <w:color w:val="auto"/>
          <w:sz w:val="24"/>
          <w:szCs w:val="24"/>
        </w:rPr>
        <w:id w:val="-1371452328"/>
        <w:docPartObj>
          <w:docPartGallery w:val="Table of Contents"/>
          <w:docPartUnique/>
        </w:docPartObj>
      </w:sdtPr>
      <w:sdtEndPr>
        <w:rPr>
          <w:b/>
          <w:bCs/>
        </w:rPr>
      </w:sdtEndPr>
      <w:sdtContent>
        <w:p w14:paraId="06ABEBF5" w14:textId="41335785" w:rsidR="00231C80" w:rsidRPr="001F0712" w:rsidRDefault="00231C80">
          <w:pPr>
            <w:pStyle w:val="TOCHeading"/>
            <w:rPr>
              <w:rFonts w:ascii="Arial" w:hAnsi="Arial" w:cs="Arial"/>
            </w:rPr>
          </w:pPr>
        </w:p>
        <w:p w14:paraId="5E0B2929" w14:textId="70FAC7F7" w:rsidR="00DC2FBF" w:rsidRDefault="00231C80">
          <w:pPr>
            <w:pStyle w:val="TOC1"/>
            <w:rPr>
              <w:rFonts w:cstheme="minorBidi"/>
              <w:noProof/>
              <w:kern w:val="2"/>
              <w:sz w:val="24"/>
              <w:szCs w:val="24"/>
              <w14:ligatures w14:val="standardContextual"/>
            </w:rPr>
          </w:pPr>
          <w:r w:rsidRPr="001F0712">
            <w:fldChar w:fldCharType="begin"/>
          </w:r>
          <w:r w:rsidRPr="001F0712">
            <w:instrText xml:space="preserve"> TOC \o "1-3" \h \z \u </w:instrText>
          </w:r>
          <w:r w:rsidRPr="001F0712">
            <w:fldChar w:fldCharType="separate"/>
          </w:r>
          <w:hyperlink w:anchor="_Toc194319263" w:history="1">
            <w:r w:rsidR="00DC2FBF" w:rsidRPr="00907D63">
              <w:rPr>
                <w:rStyle w:val="Hyperlink"/>
                <w:rFonts w:cs="Arial"/>
                <w:noProof/>
              </w:rPr>
              <w:t>1</w:t>
            </w:r>
            <w:r w:rsidR="00DC2FBF">
              <w:rPr>
                <w:rFonts w:cstheme="minorBidi"/>
                <w:noProof/>
                <w:kern w:val="2"/>
                <w:sz w:val="24"/>
                <w:szCs w:val="24"/>
                <w14:ligatures w14:val="standardContextual"/>
              </w:rPr>
              <w:tab/>
            </w:r>
            <w:r w:rsidR="00DC2FBF" w:rsidRPr="00907D63">
              <w:rPr>
                <w:rStyle w:val="Hyperlink"/>
                <w:rFonts w:cs="Arial"/>
                <w:noProof/>
              </w:rPr>
              <w:t>SCOPE AND PURPOSE OF POLICY</w:t>
            </w:r>
            <w:r w:rsidR="00DC2FBF">
              <w:rPr>
                <w:noProof/>
                <w:webHidden/>
              </w:rPr>
              <w:tab/>
            </w:r>
            <w:r w:rsidR="00DC2FBF">
              <w:rPr>
                <w:noProof/>
                <w:webHidden/>
              </w:rPr>
              <w:fldChar w:fldCharType="begin"/>
            </w:r>
            <w:r w:rsidR="00DC2FBF">
              <w:rPr>
                <w:noProof/>
                <w:webHidden/>
              </w:rPr>
              <w:instrText xml:space="preserve"> PAGEREF _Toc194319263 \h </w:instrText>
            </w:r>
            <w:r w:rsidR="00DC2FBF">
              <w:rPr>
                <w:noProof/>
                <w:webHidden/>
              </w:rPr>
            </w:r>
            <w:r w:rsidR="00DC2FBF">
              <w:rPr>
                <w:noProof/>
                <w:webHidden/>
              </w:rPr>
              <w:fldChar w:fldCharType="separate"/>
            </w:r>
            <w:r w:rsidR="00DC2FBF">
              <w:rPr>
                <w:noProof/>
                <w:webHidden/>
              </w:rPr>
              <w:t>2</w:t>
            </w:r>
            <w:r w:rsidR="00DC2FBF">
              <w:rPr>
                <w:noProof/>
                <w:webHidden/>
              </w:rPr>
              <w:fldChar w:fldCharType="end"/>
            </w:r>
          </w:hyperlink>
        </w:p>
        <w:p w14:paraId="6D36FC15" w14:textId="201BA628" w:rsidR="00DC2FBF" w:rsidRDefault="00DC2FBF">
          <w:pPr>
            <w:pStyle w:val="TOC1"/>
            <w:rPr>
              <w:rFonts w:cstheme="minorBidi"/>
              <w:noProof/>
              <w:kern w:val="2"/>
              <w:sz w:val="24"/>
              <w:szCs w:val="24"/>
              <w14:ligatures w14:val="standardContextual"/>
            </w:rPr>
          </w:pPr>
          <w:hyperlink w:anchor="_Toc194319264" w:history="1">
            <w:r w:rsidRPr="00907D63">
              <w:rPr>
                <w:rStyle w:val="Hyperlink"/>
                <w:rFonts w:cs="Arial"/>
                <w:noProof/>
              </w:rPr>
              <w:t>2</w:t>
            </w:r>
            <w:r>
              <w:rPr>
                <w:rFonts w:cstheme="minorBidi"/>
                <w:noProof/>
                <w:kern w:val="2"/>
                <w:sz w:val="24"/>
                <w:szCs w:val="24"/>
                <w14:ligatures w14:val="standardContextual"/>
              </w:rPr>
              <w:tab/>
            </w:r>
            <w:r w:rsidRPr="00907D63">
              <w:rPr>
                <w:rStyle w:val="Hyperlink"/>
                <w:rFonts w:cs="Arial"/>
                <w:noProof/>
              </w:rPr>
              <w:t>GENERAL PRINCIPLES</w:t>
            </w:r>
            <w:r>
              <w:rPr>
                <w:noProof/>
                <w:webHidden/>
              </w:rPr>
              <w:tab/>
            </w:r>
            <w:r>
              <w:rPr>
                <w:noProof/>
                <w:webHidden/>
              </w:rPr>
              <w:fldChar w:fldCharType="begin"/>
            </w:r>
            <w:r>
              <w:rPr>
                <w:noProof/>
                <w:webHidden/>
              </w:rPr>
              <w:instrText xml:space="preserve"> PAGEREF _Toc194319264 \h </w:instrText>
            </w:r>
            <w:r>
              <w:rPr>
                <w:noProof/>
                <w:webHidden/>
              </w:rPr>
            </w:r>
            <w:r>
              <w:rPr>
                <w:noProof/>
                <w:webHidden/>
              </w:rPr>
              <w:fldChar w:fldCharType="separate"/>
            </w:r>
            <w:r>
              <w:rPr>
                <w:noProof/>
                <w:webHidden/>
              </w:rPr>
              <w:t>2</w:t>
            </w:r>
            <w:r>
              <w:rPr>
                <w:noProof/>
                <w:webHidden/>
              </w:rPr>
              <w:fldChar w:fldCharType="end"/>
            </w:r>
          </w:hyperlink>
        </w:p>
        <w:p w14:paraId="7171AAEF" w14:textId="1CF5B944" w:rsidR="00DC2FBF" w:rsidRDefault="00DC2FBF">
          <w:pPr>
            <w:pStyle w:val="TOC1"/>
            <w:rPr>
              <w:rFonts w:cstheme="minorBidi"/>
              <w:noProof/>
              <w:kern w:val="2"/>
              <w:sz w:val="24"/>
              <w:szCs w:val="24"/>
              <w14:ligatures w14:val="standardContextual"/>
            </w:rPr>
          </w:pPr>
          <w:hyperlink w:anchor="_Toc194319265" w:history="1">
            <w:r w:rsidRPr="00907D63">
              <w:rPr>
                <w:rStyle w:val="Hyperlink"/>
                <w:rFonts w:cs="Arial"/>
                <w:noProof/>
              </w:rPr>
              <w:t>3</w:t>
            </w:r>
            <w:r>
              <w:rPr>
                <w:rFonts w:cstheme="minorBidi"/>
                <w:noProof/>
                <w:kern w:val="2"/>
                <w:sz w:val="24"/>
                <w:szCs w:val="24"/>
                <w14:ligatures w14:val="standardContextual"/>
              </w:rPr>
              <w:tab/>
            </w:r>
            <w:r w:rsidRPr="00907D63">
              <w:rPr>
                <w:rStyle w:val="Hyperlink"/>
                <w:rFonts w:cs="Arial"/>
                <w:noProof/>
              </w:rPr>
              <w:t>LOWEST-PAID EMPLOYEES</w:t>
            </w:r>
            <w:r>
              <w:rPr>
                <w:noProof/>
                <w:webHidden/>
              </w:rPr>
              <w:tab/>
            </w:r>
            <w:r>
              <w:rPr>
                <w:noProof/>
                <w:webHidden/>
              </w:rPr>
              <w:fldChar w:fldCharType="begin"/>
            </w:r>
            <w:r>
              <w:rPr>
                <w:noProof/>
                <w:webHidden/>
              </w:rPr>
              <w:instrText xml:space="preserve"> PAGEREF _Toc194319265 \h </w:instrText>
            </w:r>
            <w:r>
              <w:rPr>
                <w:noProof/>
                <w:webHidden/>
              </w:rPr>
            </w:r>
            <w:r>
              <w:rPr>
                <w:noProof/>
                <w:webHidden/>
              </w:rPr>
              <w:fldChar w:fldCharType="separate"/>
            </w:r>
            <w:r>
              <w:rPr>
                <w:noProof/>
                <w:webHidden/>
              </w:rPr>
              <w:t>3</w:t>
            </w:r>
            <w:r>
              <w:rPr>
                <w:noProof/>
                <w:webHidden/>
              </w:rPr>
              <w:fldChar w:fldCharType="end"/>
            </w:r>
          </w:hyperlink>
        </w:p>
        <w:p w14:paraId="30B79606" w14:textId="7402D705" w:rsidR="00DC2FBF" w:rsidRDefault="00DC2FBF">
          <w:pPr>
            <w:pStyle w:val="TOC2"/>
            <w:rPr>
              <w:rFonts w:cstheme="minorBidi"/>
              <w:noProof/>
              <w:kern w:val="2"/>
              <w:sz w:val="24"/>
              <w:szCs w:val="24"/>
              <w14:ligatures w14:val="standardContextual"/>
            </w:rPr>
          </w:pPr>
          <w:hyperlink w:anchor="_Toc194319266" w:history="1">
            <w:r w:rsidRPr="00907D63">
              <w:rPr>
                <w:rStyle w:val="Hyperlink"/>
                <w:rFonts w:cs="Arial"/>
                <w:noProof/>
              </w:rPr>
              <w:t>Definitions</w:t>
            </w:r>
            <w:r>
              <w:rPr>
                <w:noProof/>
                <w:webHidden/>
              </w:rPr>
              <w:tab/>
            </w:r>
            <w:r>
              <w:rPr>
                <w:noProof/>
                <w:webHidden/>
              </w:rPr>
              <w:fldChar w:fldCharType="begin"/>
            </w:r>
            <w:r>
              <w:rPr>
                <w:noProof/>
                <w:webHidden/>
              </w:rPr>
              <w:instrText xml:space="preserve"> PAGEREF _Toc194319266 \h </w:instrText>
            </w:r>
            <w:r>
              <w:rPr>
                <w:noProof/>
                <w:webHidden/>
              </w:rPr>
            </w:r>
            <w:r>
              <w:rPr>
                <w:noProof/>
                <w:webHidden/>
              </w:rPr>
              <w:fldChar w:fldCharType="separate"/>
            </w:r>
            <w:r>
              <w:rPr>
                <w:noProof/>
                <w:webHidden/>
              </w:rPr>
              <w:t>3</w:t>
            </w:r>
            <w:r>
              <w:rPr>
                <w:noProof/>
                <w:webHidden/>
              </w:rPr>
              <w:fldChar w:fldCharType="end"/>
            </w:r>
          </w:hyperlink>
        </w:p>
        <w:p w14:paraId="0E03401F" w14:textId="42B1A2B1" w:rsidR="00DC2FBF" w:rsidRDefault="00DC2FBF">
          <w:pPr>
            <w:pStyle w:val="TOC2"/>
            <w:rPr>
              <w:rFonts w:cstheme="minorBidi"/>
              <w:noProof/>
              <w:kern w:val="2"/>
              <w:sz w:val="24"/>
              <w:szCs w:val="24"/>
              <w14:ligatures w14:val="standardContextual"/>
            </w:rPr>
          </w:pPr>
          <w:hyperlink w:anchor="_Toc194319267" w:history="1">
            <w:r w:rsidRPr="00907D63">
              <w:rPr>
                <w:rStyle w:val="Hyperlink"/>
                <w:rFonts w:cs="Arial"/>
                <w:noProof/>
              </w:rPr>
              <w:t>Pay</w:t>
            </w:r>
            <w:r>
              <w:rPr>
                <w:noProof/>
                <w:webHidden/>
              </w:rPr>
              <w:tab/>
            </w:r>
            <w:r>
              <w:rPr>
                <w:noProof/>
                <w:webHidden/>
              </w:rPr>
              <w:fldChar w:fldCharType="begin"/>
            </w:r>
            <w:r>
              <w:rPr>
                <w:noProof/>
                <w:webHidden/>
              </w:rPr>
              <w:instrText xml:space="preserve"> PAGEREF _Toc194319267 \h </w:instrText>
            </w:r>
            <w:r>
              <w:rPr>
                <w:noProof/>
                <w:webHidden/>
              </w:rPr>
            </w:r>
            <w:r>
              <w:rPr>
                <w:noProof/>
                <w:webHidden/>
              </w:rPr>
              <w:fldChar w:fldCharType="separate"/>
            </w:r>
            <w:r>
              <w:rPr>
                <w:noProof/>
                <w:webHidden/>
              </w:rPr>
              <w:t>3</w:t>
            </w:r>
            <w:r>
              <w:rPr>
                <w:noProof/>
                <w:webHidden/>
              </w:rPr>
              <w:fldChar w:fldCharType="end"/>
            </w:r>
          </w:hyperlink>
        </w:p>
        <w:p w14:paraId="2DBF93DE" w14:textId="58060845" w:rsidR="00DC2FBF" w:rsidRDefault="00DC2FBF">
          <w:pPr>
            <w:pStyle w:val="TOC1"/>
            <w:rPr>
              <w:rFonts w:cstheme="minorBidi"/>
              <w:noProof/>
              <w:kern w:val="2"/>
              <w:sz w:val="24"/>
              <w:szCs w:val="24"/>
              <w14:ligatures w14:val="standardContextual"/>
            </w:rPr>
          </w:pPr>
          <w:hyperlink w:anchor="_Toc194319268" w:history="1">
            <w:r w:rsidRPr="00907D63">
              <w:rPr>
                <w:rStyle w:val="Hyperlink"/>
                <w:rFonts w:cs="Arial"/>
                <w:noProof/>
              </w:rPr>
              <w:t>4</w:t>
            </w:r>
            <w:r>
              <w:rPr>
                <w:rFonts w:cstheme="minorBidi"/>
                <w:noProof/>
                <w:kern w:val="2"/>
                <w:sz w:val="24"/>
                <w:szCs w:val="24"/>
                <w14:ligatures w14:val="standardContextual"/>
              </w:rPr>
              <w:tab/>
            </w:r>
            <w:r w:rsidRPr="00907D63">
              <w:rPr>
                <w:rStyle w:val="Hyperlink"/>
                <w:rFonts w:cs="Arial"/>
                <w:noProof/>
              </w:rPr>
              <w:t>CHIEF OFFICERS</w:t>
            </w:r>
            <w:r>
              <w:rPr>
                <w:noProof/>
                <w:webHidden/>
              </w:rPr>
              <w:tab/>
            </w:r>
            <w:r>
              <w:rPr>
                <w:noProof/>
                <w:webHidden/>
              </w:rPr>
              <w:fldChar w:fldCharType="begin"/>
            </w:r>
            <w:r>
              <w:rPr>
                <w:noProof/>
                <w:webHidden/>
              </w:rPr>
              <w:instrText xml:space="preserve"> PAGEREF _Toc194319268 \h </w:instrText>
            </w:r>
            <w:r>
              <w:rPr>
                <w:noProof/>
                <w:webHidden/>
              </w:rPr>
            </w:r>
            <w:r>
              <w:rPr>
                <w:noProof/>
                <w:webHidden/>
              </w:rPr>
              <w:fldChar w:fldCharType="separate"/>
            </w:r>
            <w:r>
              <w:rPr>
                <w:noProof/>
                <w:webHidden/>
              </w:rPr>
              <w:t>3</w:t>
            </w:r>
            <w:r>
              <w:rPr>
                <w:noProof/>
                <w:webHidden/>
              </w:rPr>
              <w:fldChar w:fldCharType="end"/>
            </w:r>
          </w:hyperlink>
        </w:p>
        <w:p w14:paraId="299884BD" w14:textId="5F2EC3AF" w:rsidR="00DC2FBF" w:rsidRDefault="00DC2FBF">
          <w:pPr>
            <w:pStyle w:val="TOC2"/>
            <w:rPr>
              <w:rFonts w:cstheme="minorBidi"/>
              <w:noProof/>
              <w:kern w:val="2"/>
              <w:sz w:val="24"/>
              <w:szCs w:val="24"/>
              <w14:ligatures w14:val="standardContextual"/>
            </w:rPr>
          </w:pPr>
          <w:hyperlink w:anchor="_Toc194319269" w:history="1">
            <w:r w:rsidRPr="00907D63">
              <w:rPr>
                <w:rStyle w:val="Hyperlink"/>
                <w:rFonts w:cs="Arial"/>
                <w:noProof/>
              </w:rPr>
              <w:t>Definitions</w:t>
            </w:r>
            <w:r>
              <w:rPr>
                <w:noProof/>
                <w:webHidden/>
              </w:rPr>
              <w:tab/>
            </w:r>
            <w:r>
              <w:rPr>
                <w:noProof/>
                <w:webHidden/>
              </w:rPr>
              <w:fldChar w:fldCharType="begin"/>
            </w:r>
            <w:r>
              <w:rPr>
                <w:noProof/>
                <w:webHidden/>
              </w:rPr>
              <w:instrText xml:space="preserve"> PAGEREF _Toc194319269 \h </w:instrText>
            </w:r>
            <w:r>
              <w:rPr>
                <w:noProof/>
                <w:webHidden/>
              </w:rPr>
            </w:r>
            <w:r>
              <w:rPr>
                <w:noProof/>
                <w:webHidden/>
              </w:rPr>
              <w:fldChar w:fldCharType="separate"/>
            </w:r>
            <w:r>
              <w:rPr>
                <w:noProof/>
                <w:webHidden/>
              </w:rPr>
              <w:t>3</w:t>
            </w:r>
            <w:r>
              <w:rPr>
                <w:noProof/>
                <w:webHidden/>
              </w:rPr>
              <w:fldChar w:fldCharType="end"/>
            </w:r>
          </w:hyperlink>
        </w:p>
        <w:p w14:paraId="5B291F60" w14:textId="654983A9" w:rsidR="00DC2FBF" w:rsidRDefault="00DC2FBF">
          <w:pPr>
            <w:pStyle w:val="TOC2"/>
            <w:rPr>
              <w:rFonts w:cstheme="minorBidi"/>
              <w:noProof/>
              <w:kern w:val="2"/>
              <w:sz w:val="24"/>
              <w:szCs w:val="24"/>
              <w14:ligatures w14:val="standardContextual"/>
            </w:rPr>
          </w:pPr>
          <w:hyperlink w:anchor="_Toc194319270" w:history="1">
            <w:r w:rsidRPr="00907D63">
              <w:rPr>
                <w:rStyle w:val="Hyperlink"/>
                <w:rFonts w:cs="Arial"/>
                <w:noProof/>
              </w:rPr>
              <w:t>Scope</w:t>
            </w:r>
            <w:r>
              <w:rPr>
                <w:noProof/>
                <w:webHidden/>
              </w:rPr>
              <w:tab/>
            </w:r>
            <w:r>
              <w:rPr>
                <w:noProof/>
                <w:webHidden/>
              </w:rPr>
              <w:fldChar w:fldCharType="begin"/>
            </w:r>
            <w:r>
              <w:rPr>
                <w:noProof/>
                <w:webHidden/>
              </w:rPr>
              <w:instrText xml:space="preserve"> PAGEREF _Toc194319270 \h </w:instrText>
            </w:r>
            <w:r>
              <w:rPr>
                <w:noProof/>
                <w:webHidden/>
              </w:rPr>
            </w:r>
            <w:r>
              <w:rPr>
                <w:noProof/>
                <w:webHidden/>
              </w:rPr>
              <w:fldChar w:fldCharType="separate"/>
            </w:r>
            <w:r>
              <w:rPr>
                <w:noProof/>
                <w:webHidden/>
              </w:rPr>
              <w:t>3</w:t>
            </w:r>
            <w:r>
              <w:rPr>
                <w:noProof/>
                <w:webHidden/>
              </w:rPr>
              <w:fldChar w:fldCharType="end"/>
            </w:r>
          </w:hyperlink>
        </w:p>
        <w:p w14:paraId="53A5821C" w14:textId="0970DCC4" w:rsidR="00DC2FBF" w:rsidRDefault="00DC2FBF">
          <w:pPr>
            <w:pStyle w:val="TOC2"/>
            <w:rPr>
              <w:rFonts w:cstheme="minorBidi"/>
              <w:noProof/>
              <w:kern w:val="2"/>
              <w:sz w:val="24"/>
              <w:szCs w:val="24"/>
              <w14:ligatures w14:val="standardContextual"/>
            </w:rPr>
          </w:pPr>
          <w:hyperlink w:anchor="_Toc194319271" w:history="1">
            <w:r w:rsidRPr="00907D63">
              <w:rPr>
                <w:rStyle w:val="Hyperlink"/>
                <w:rFonts w:cs="Arial"/>
                <w:noProof/>
              </w:rPr>
              <w:t>Chief officers’ pay and benefits</w:t>
            </w:r>
            <w:r>
              <w:rPr>
                <w:noProof/>
                <w:webHidden/>
              </w:rPr>
              <w:tab/>
            </w:r>
            <w:r>
              <w:rPr>
                <w:noProof/>
                <w:webHidden/>
              </w:rPr>
              <w:fldChar w:fldCharType="begin"/>
            </w:r>
            <w:r>
              <w:rPr>
                <w:noProof/>
                <w:webHidden/>
              </w:rPr>
              <w:instrText xml:space="preserve"> PAGEREF _Toc194319271 \h </w:instrText>
            </w:r>
            <w:r>
              <w:rPr>
                <w:noProof/>
                <w:webHidden/>
              </w:rPr>
            </w:r>
            <w:r>
              <w:rPr>
                <w:noProof/>
                <w:webHidden/>
              </w:rPr>
              <w:fldChar w:fldCharType="separate"/>
            </w:r>
            <w:r>
              <w:rPr>
                <w:noProof/>
                <w:webHidden/>
              </w:rPr>
              <w:t>4</w:t>
            </w:r>
            <w:r>
              <w:rPr>
                <w:noProof/>
                <w:webHidden/>
              </w:rPr>
              <w:fldChar w:fldCharType="end"/>
            </w:r>
          </w:hyperlink>
        </w:p>
        <w:p w14:paraId="0F7D5D04" w14:textId="4FEA3847" w:rsidR="00DC2FBF" w:rsidRDefault="00DC2FBF">
          <w:pPr>
            <w:pStyle w:val="TOC2"/>
            <w:rPr>
              <w:rFonts w:cstheme="minorBidi"/>
              <w:noProof/>
              <w:kern w:val="2"/>
              <w:sz w:val="24"/>
              <w:szCs w:val="24"/>
              <w14:ligatures w14:val="standardContextual"/>
            </w:rPr>
          </w:pPr>
          <w:hyperlink w:anchor="_Toc194319272" w:history="1">
            <w:r w:rsidRPr="00907D63">
              <w:rPr>
                <w:rStyle w:val="Hyperlink"/>
                <w:rFonts w:cs="Arial"/>
                <w:noProof/>
              </w:rPr>
              <w:t>Remuneration of chief officers on recruitment</w:t>
            </w:r>
            <w:r>
              <w:rPr>
                <w:noProof/>
                <w:webHidden/>
              </w:rPr>
              <w:tab/>
            </w:r>
            <w:r>
              <w:rPr>
                <w:noProof/>
                <w:webHidden/>
              </w:rPr>
              <w:fldChar w:fldCharType="begin"/>
            </w:r>
            <w:r>
              <w:rPr>
                <w:noProof/>
                <w:webHidden/>
              </w:rPr>
              <w:instrText xml:space="preserve"> PAGEREF _Toc194319272 \h </w:instrText>
            </w:r>
            <w:r>
              <w:rPr>
                <w:noProof/>
                <w:webHidden/>
              </w:rPr>
            </w:r>
            <w:r>
              <w:rPr>
                <w:noProof/>
                <w:webHidden/>
              </w:rPr>
              <w:fldChar w:fldCharType="separate"/>
            </w:r>
            <w:r>
              <w:rPr>
                <w:noProof/>
                <w:webHidden/>
              </w:rPr>
              <w:t>5</w:t>
            </w:r>
            <w:r>
              <w:rPr>
                <w:noProof/>
                <w:webHidden/>
              </w:rPr>
              <w:fldChar w:fldCharType="end"/>
            </w:r>
          </w:hyperlink>
        </w:p>
        <w:p w14:paraId="57662B0F" w14:textId="118F37F1" w:rsidR="00DC2FBF" w:rsidRDefault="00DC2FBF">
          <w:pPr>
            <w:pStyle w:val="TOC2"/>
            <w:rPr>
              <w:rFonts w:cstheme="minorBidi"/>
              <w:noProof/>
              <w:kern w:val="2"/>
              <w:sz w:val="24"/>
              <w:szCs w:val="24"/>
              <w14:ligatures w14:val="standardContextual"/>
            </w:rPr>
          </w:pPr>
          <w:hyperlink w:anchor="_Toc194319273" w:history="1">
            <w:r w:rsidRPr="00907D63">
              <w:rPr>
                <w:rStyle w:val="Hyperlink"/>
                <w:rFonts w:cs="Arial"/>
                <w:bCs/>
                <w:noProof/>
              </w:rPr>
              <w:t>Payment on termination of employment</w:t>
            </w:r>
            <w:r>
              <w:rPr>
                <w:noProof/>
                <w:webHidden/>
              </w:rPr>
              <w:tab/>
            </w:r>
            <w:r>
              <w:rPr>
                <w:noProof/>
                <w:webHidden/>
              </w:rPr>
              <w:fldChar w:fldCharType="begin"/>
            </w:r>
            <w:r>
              <w:rPr>
                <w:noProof/>
                <w:webHidden/>
              </w:rPr>
              <w:instrText xml:space="preserve"> PAGEREF _Toc194319273 \h </w:instrText>
            </w:r>
            <w:r>
              <w:rPr>
                <w:noProof/>
                <w:webHidden/>
              </w:rPr>
            </w:r>
            <w:r>
              <w:rPr>
                <w:noProof/>
                <w:webHidden/>
              </w:rPr>
              <w:fldChar w:fldCharType="separate"/>
            </w:r>
            <w:r>
              <w:rPr>
                <w:noProof/>
                <w:webHidden/>
              </w:rPr>
              <w:t>5</w:t>
            </w:r>
            <w:r>
              <w:rPr>
                <w:noProof/>
                <w:webHidden/>
              </w:rPr>
              <w:fldChar w:fldCharType="end"/>
            </w:r>
          </w:hyperlink>
        </w:p>
        <w:p w14:paraId="058EB8AB" w14:textId="1CE2E4A3" w:rsidR="00DC2FBF" w:rsidRDefault="00DC2FBF">
          <w:pPr>
            <w:pStyle w:val="TOC1"/>
            <w:rPr>
              <w:rFonts w:cstheme="minorBidi"/>
              <w:noProof/>
              <w:kern w:val="2"/>
              <w:sz w:val="24"/>
              <w:szCs w:val="24"/>
              <w14:ligatures w14:val="standardContextual"/>
            </w:rPr>
          </w:pPr>
          <w:hyperlink w:anchor="_Toc194319274" w:history="1">
            <w:r w:rsidRPr="00907D63">
              <w:rPr>
                <w:rStyle w:val="Hyperlink"/>
                <w:rFonts w:cs="Arial"/>
                <w:noProof/>
              </w:rPr>
              <w:t>5</w:t>
            </w:r>
            <w:r>
              <w:rPr>
                <w:rFonts w:cstheme="minorBidi"/>
                <w:noProof/>
                <w:kern w:val="2"/>
                <w:sz w:val="24"/>
                <w:szCs w:val="24"/>
                <w14:ligatures w14:val="standardContextual"/>
              </w:rPr>
              <w:tab/>
            </w:r>
            <w:r w:rsidRPr="00907D63">
              <w:rPr>
                <w:rStyle w:val="Hyperlink"/>
                <w:rFonts w:cs="Arial"/>
                <w:noProof/>
              </w:rPr>
              <w:t>ALL OTHER EMPLOYEES</w:t>
            </w:r>
            <w:r>
              <w:rPr>
                <w:noProof/>
                <w:webHidden/>
              </w:rPr>
              <w:tab/>
            </w:r>
            <w:r>
              <w:rPr>
                <w:noProof/>
                <w:webHidden/>
              </w:rPr>
              <w:fldChar w:fldCharType="begin"/>
            </w:r>
            <w:r>
              <w:rPr>
                <w:noProof/>
                <w:webHidden/>
              </w:rPr>
              <w:instrText xml:space="preserve"> PAGEREF _Toc194319274 \h </w:instrText>
            </w:r>
            <w:r>
              <w:rPr>
                <w:noProof/>
                <w:webHidden/>
              </w:rPr>
            </w:r>
            <w:r>
              <w:rPr>
                <w:noProof/>
                <w:webHidden/>
              </w:rPr>
              <w:fldChar w:fldCharType="separate"/>
            </w:r>
            <w:r>
              <w:rPr>
                <w:noProof/>
                <w:webHidden/>
              </w:rPr>
              <w:t>6</w:t>
            </w:r>
            <w:r>
              <w:rPr>
                <w:noProof/>
                <w:webHidden/>
              </w:rPr>
              <w:fldChar w:fldCharType="end"/>
            </w:r>
          </w:hyperlink>
        </w:p>
        <w:p w14:paraId="4F4F1FE8" w14:textId="69B4CC0C" w:rsidR="00DC2FBF" w:rsidRDefault="00DC2FBF">
          <w:pPr>
            <w:pStyle w:val="TOC2"/>
            <w:rPr>
              <w:rFonts w:cstheme="minorBidi"/>
              <w:noProof/>
              <w:kern w:val="2"/>
              <w:sz w:val="24"/>
              <w:szCs w:val="24"/>
              <w14:ligatures w14:val="standardContextual"/>
            </w:rPr>
          </w:pPr>
          <w:hyperlink w:anchor="_Toc194319275" w:history="1">
            <w:r w:rsidRPr="00907D63">
              <w:rPr>
                <w:rStyle w:val="Hyperlink"/>
                <w:rFonts w:cs="Arial"/>
                <w:noProof/>
              </w:rPr>
              <w:t>Remuneration</w:t>
            </w:r>
            <w:r>
              <w:rPr>
                <w:noProof/>
                <w:webHidden/>
              </w:rPr>
              <w:tab/>
            </w:r>
            <w:r>
              <w:rPr>
                <w:noProof/>
                <w:webHidden/>
              </w:rPr>
              <w:fldChar w:fldCharType="begin"/>
            </w:r>
            <w:r>
              <w:rPr>
                <w:noProof/>
                <w:webHidden/>
              </w:rPr>
              <w:instrText xml:space="preserve"> PAGEREF _Toc194319275 \h </w:instrText>
            </w:r>
            <w:r>
              <w:rPr>
                <w:noProof/>
                <w:webHidden/>
              </w:rPr>
            </w:r>
            <w:r>
              <w:rPr>
                <w:noProof/>
                <w:webHidden/>
              </w:rPr>
              <w:fldChar w:fldCharType="separate"/>
            </w:r>
            <w:r>
              <w:rPr>
                <w:noProof/>
                <w:webHidden/>
              </w:rPr>
              <w:t>6</w:t>
            </w:r>
            <w:r>
              <w:rPr>
                <w:noProof/>
                <w:webHidden/>
              </w:rPr>
              <w:fldChar w:fldCharType="end"/>
            </w:r>
          </w:hyperlink>
        </w:p>
        <w:p w14:paraId="2987F26E" w14:textId="6F0E98E5" w:rsidR="00DC2FBF" w:rsidRDefault="00DC2FBF">
          <w:pPr>
            <w:pStyle w:val="TOC3"/>
            <w:rPr>
              <w:rFonts w:cstheme="minorBidi"/>
              <w:noProof/>
              <w:kern w:val="2"/>
              <w:sz w:val="24"/>
              <w:szCs w:val="24"/>
              <w14:ligatures w14:val="standardContextual"/>
            </w:rPr>
          </w:pPr>
          <w:hyperlink w:anchor="_Toc194319276" w:history="1">
            <w:r w:rsidRPr="00907D63">
              <w:rPr>
                <w:rStyle w:val="Hyperlink"/>
                <w:rFonts w:cs="Arial"/>
                <w:bCs/>
                <w:noProof/>
              </w:rPr>
              <w:t>Green Book employees</w:t>
            </w:r>
            <w:r>
              <w:rPr>
                <w:noProof/>
                <w:webHidden/>
              </w:rPr>
              <w:tab/>
            </w:r>
            <w:r>
              <w:rPr>
                <w:noProof/>
                <w:webHidden/>
              </w:rPr>
              <w:fldChar w:fldCharType="begin"/>
            </w:r>
            <w:r>
              <w:rPr>
                <w:noProof/>
                <w:webHidden/>
              </w:rPr>
              <w:instrText xml:space="preserve"> PAGEREF _Toc194319276 \h </w:instrText>
            </w:r>
            <w:r>
              <w:rPr>
                <w:noProof/>
                <w:webHidden/>
              </w:rPr>
            </w:r>
            <w:r>
              <w:rPr>
                <w:noProof/>
                <w:webHidden/>
              </w:rPr>
              <w:fldChar w:fldCharType="separate"/>
            </w:r>
            <w:r>
              <w:rPr>
                <w:noProof/>
                <w:webHidden/>
              </w:rPr>
              <w:t>6</w:t>
            </w:r>
            <w:r>
              <w:rPr>
                <w:noProof/>
                <w:webHidden/>
              </w:rPr>
              <w:fldChar w:fldCharType="end"/>
            </w:r>
          </w:hyperlink>
        </w:p>
        <w:p w14:paraId="5F6C360F" w14:textId="32B3DFB5" w:rsidR="00DC2FBF" w:rsidRDefault="00DC2FBF">
          <w:pPr>
            <w:pStyle w:val="TOC3"/>
            <w:rPr>
              <w:rFonts w:cstheme="minorBidi"/>
              <w:noProof/>
              <w:kern w:val="2"/>
              <w:sz w:val="24"/>
              <w:szCs w:val="24"/>
              <w14:ligatures w14:val="standardContextual"/>
            </w:rPr>
          </w:pPr>
          <w:hyperlink w:anchor="_Toc194319277" w:history="1">
            <w:r w:rsidRPr="00907D63">
              <w:rPr>
                <w:rStyle w:val="Hyperlink"/>
                <w:rFonts w:cs="Arial"/>
                <w:bCs/>
                <w:noProof/>
              </w:rPr>
              <w:t>Grey Book employees</w:t>
            </w:r>
            <w:r>
              <w:rPr>
                <w:noProof/>
                <w:webHidden/>
              </w:rPr>
              <w:tab/>
            </w:r>
            <w:r>
              <w:rPr>
                <w:noProof/>
                <w:webHidden/>
              </w:rPr>
              <w:fldChar w:fldCharType="begin"/>
            </w:r>
            <w:r>
              <w:rPr>
                <w:noProof/>
                <w:webHidden/>
              </w:rPr>
              <w:instrText xml:space="preserve"> PAGEREF _Toc194319277 \h </w:instrText>
            </w:r>
            <w:r>
              <w:rPr>
                <w:noProof/>
                <w:webHidden/>
              </w:rPr>
            </w:r>
            <w:r>
              <w:rPr>
                <w:noProof/>
                <w:webHidden/>
              </w:rPr>
              <w:fldChar w:fldCharType="separate"/>
            </w:r>
            <w:r>
              <w:rPr>
                <w:noProof/>
                <w:webHidden/>
              </w:rPr>
              <w:t>6</w:t>
            </w:r>
            <w:r>
              <w:rPr>
                <w:noProof/>
                <w:webHidden/>
              </w:rPr>
              <w:fldChar w:fldCharType="end"/>
            </w:r>
          </w:hyperlink>
        </w:p>
        <w:p w14:paraId="5562BDF5" w14:textId="4877B42E" w:rsidR="00DC2FBF" w:rsidRDefault="00DC2FBF">
          <w:pPr>
            <w:pStyle w:val="TOC2"/>
            <w:rPr>
              <w:rFonts w:cstheme="minorBidi"/>
              <w:noProof/>
              <w:kern w:val="2"/>
              <w:sz w:val="24"/>
              <w:szCs w:val="24"/>
              <w14:ligatures w14:val="standardContextual"/>
            </w:rPr>
          </w:pPr>
          <w:hyperlink w:anchor="_Toc194319278" w:history="1">
            <w:r w:rsidRPr="00907D63">
              <w:rPr>
                <w:rStyle w:val="Hyperlink"/>
                <w:rFonts w:cs="Arial"/>
                <w:bCs/>
                <w:noProof/>
              </w:rPr>
              <w:t>Payment on termination of employment</w:t>
            </w:r>
            <w:r>
              <w:rPr>
                <w:noProof/>
                <w:webHidden/>
              </w:rPr>
              <w:tab/>
            </w:r>
            <w:r>
              <w:rPr>
                <w:noProof/>
                <w:webHidden/>
              </w:rPr>
              <w:fldChar w:fldCharType="begin"/>
            </w:r>
            <w:r>
              <w:rPr>
                <w:noProof/>
                <w:webHidden/>
              </w:rPr>
              <w:instrText xml:space="preserve"> PAGEREF _Toc194319278 \h </w:instrText>
            </w:r>
            <w:r>
              <w:rPr>
                <w:noProof/>
                <w:webHidden/>
              </w:rPr>
            </w:r>
            <w:r>
              <w:rPr>
                <w:noProof/>
                <w:webHidden/>
              </w:rPr>
              <w:fldChar w:fldCharType="separate"/>
            </w:r>
            <w:r>
              <w:rPr>
                <w:noProof/>
                <w:webHidden/>
              </w:rPr>
              <w:t>6</w:t>
            </w:r>
            <w:r>
              <w:rPr>
                <w:noProof/>
                <w:webHidden/>
              </w:rPr>
              <w:fldChar w:fldCharType="end"/>
            </w:r>
          </w:hyperlink>
        </w:p>
        <w:p w14:paraId="481E380B" w14:textId="43684562" w:rsidR="00DC2FBF" w:rsidRDefault="00DC2FBF">
          <w:pPr>
            <w:pStyle w:val="TOC3"/>
            <w:rPr>
              <w:rFonts w:cstheme="minorBidi"/>
              <w:noProof/>
              <w:kern w:val="2"/>
              <w:sz w:val="24"/>
              <w:szCs w:val="24"/>
              <w14:ligatures w14:val="standardContextual"/>
            </w:rPr>
          </w:pPr>
          <w:hyperlink w:anchor="_Toc194319279" w:history="1">
            <w:r w:rsidRPr="00907D63">
              <w:rPr>
                <w:rStyle w:val="Hyperlink"/>
                <w:rFonts w:cs="Arial"/>
                <w:bCs/>
                <w:noProof/>
              </w:rPr>
              <w:t>Green Book employees</w:t>
            </w:r>
            <w:r>
              <w:rPr>
                <w:noProof/>
                <w:webHidden/>
              </w:rPr>
              <w:tab/>
            </w:r>
            <w:r>
              <w:rPr>
                <w:noProof/>
                <w:webHidden/>
              </w:rPr>
              <w:fldChar w:fldCharType="begin"/>
            </w:r>
            <w:r>
              <w:rPr>
                <w:noProof/>
                <w:webHidden/>
              </w:rPr>
              <w:instrText xml:space="preserve"> PAGEREF _Toc194319279 \h </w:instrText>
            </w:r>
            <w:r>
              <w:rPr>
                <w:noProof/>
                <w:webHidden/>
              </w:rPr>
            </w:r>
            <w:r>
              <w:rPr>
                <w:noProof/>
                <w:webHidden/>
              </w:rPr>
              <w:fldChar w:fldCharType="separate"/>
            </w:r>
            <w:r>
              <w:rPr>
                <w:noProof/>
                <w:webHidden/>
              </w:rPr>
              <w:t>6</w:t>
            </w:r>
            <w:r>
              <w:rPr>
                <w:noProof/>
                <w:webHidden/>
              </w:rPr>
              <w:fldChar w:fldCharType="end"/>
            </w:r>
          </w:hyperlink>
        </w:p>
        <w:p w14:paraId="4A58E83E" w14:textId="68DFD188" w:rsidR="00DC2FBF" w:rsidRDefault="00DC2FBF">
          <w:pPr>
            <w:pStyle w:val="TOC3"/>
            <w:rPr>
              <w:rFonts w:cstheme="minorBidi"/>
              <w:noProof/>
              <w:kern w:val="2"/>
              <w:sz w:val="24"/>
              <w:szCs w:val="24"/>
              <w14:ligatures w14:val="standardContextual"/>
            </w:rPr>
          </w:pPr>
          <w:hyperlink w:anchor="_Toc194319280" w:history="1">
            <w:r w:rsidRPr="00907D63">
              <w:rPr>
                <w:rStyle w:val="Hyperlink"/>
                <w:rFonts w:cs="Arial"/>
                <w:bCs/>
                <w:noProof/>
              </w:rPr>
              <w:t>Grey Book employees</w:t>
            </w:r>
            <w:r>
              <w:rPr>
                <w:noProof/>
                <w:webHidden/>
              </w:rPr>
              <w:tab/>
            </w:r>
            <w:r>
              <w:rPr>
                <w:noProof/>
                <w:webHidden/>
              </w:rPr>
              <w:fldChar w:fldCharType="begin"/>
            </w:r>
            <w:r>
              <w:rPr>
                <w:noProof/>
                <w:webHidden/>
              </w:rPr>
              <w:instrText xml:space="preserve"> PAGEREF _Toc194319280 \h </w:instrText>
            </w:r>
            <w:r>
              <w:rPr>
                <w:noProof/>
                <w:webHidden/>
              </w:rPr>
            </w:r>
            <w:r>
              <w:rPr>
                <w:noProof/>
                <w:webHidden/>
              </w:rPr>
              <w:fldChar w:fldCharType="separate"/>
            </w:r>
            <w:r>
              <w:rPr>
                <w:noProof/>
                <w:webHidden/>
              </w:rPr>
              <w:t>6</w:t>
            </w:r>
            <w:r>
              <w:rPr>
                <w:noProof/>
                <w:webHidden/>
              </w:rPr>
              <w:fldChar w:fldCharType="end"/>
            </w:r>
          </w:hyperlink>
        </w:p>
        <w:p w14:paraId="4FD28217" w14:textId="4A4BA6E3" w:rsidR="00DC2FBF" w:rsidRDefault="00DC2FBF">
          <w:pPr>
            <w:pStyle w:val="TOC1"/>
            <w:rPr>
              <w:rFonts w:cstheme="minorBidi"/>
              <w:noProof/>
              <w:kern w:val="2"/>
              <w:sz w:val="24"/>
              <w:szCs w:val="24"/>
              <w14:ligatures w14:val="standardContextual"/>
            </w:rPr>
          </w:pPr>
          <w:hyperlink w:anchor="_Toc194319281" w:history="1">
            <w:r w:rsidRPr="00907D63">
              <w:rPr>
                <w:rStyle w:val="Hyperlink"/>
                <w:rFonts w:cs="Arial"/>
                <w:noProof/>
              </w:rPr>
              <w:t>6</w:t>
            </w:r>
            <w:r>
              <w:rPr>
                <w:rFonts w:cstheme="minorBidi"/>
                <w:noProof/>
                <w:kern w:val="2"/>
                <w:sz w:val="24"/>
                <w:szCs w:val="24"/>
                <w14:ligatures w14:val="standardContextual"/>
              </w:rPr>
              <w:tab/>
            </w:r>
            <w:r w:rsidRPr="00907D63">
              <w:rPr>
                <w:rStyle w:val="Hyperlink"/>
                <w:rFonts w:cs="Arial"/>
                <w:noProof/>
              </w:rPr>
              <w:t>PAY AWARDS</w:t>
            </w:r>
            <w:r>
              <w:rPr>
                <w:noProof/>
                <w:webHidden/>
              </w:rPr>
              <w:tab/>
            </w:r>
            <w:r>
              <w:rPr>
                <w:noProof/>
                <w:webHidden/>
              </w:rPr>
              <w:fldChar w:fldCharType="begin"/>
            </w:r>
            <w:r>
              <w:rPr>
                <w:noProof/>
                <w:webHidden/>
              </w:rPr>
              <w:instrText xml:space="preserve"> PAGEREF _Toc194319281 \h </w:instrText>
            </w:r>
            <w:r>
              <w:rPr>
                <w:noProof/>
                <w:webHidden/>
              </w:rPr>
            </w:r>
            <w:r>
              <w:rPr>
                <w:noProof/>
                <w:webHidden/>
              </w:rPr>
              <w:fldChar w:fldCharType="separate"/>
            </w:r>
            <w:r>
              <w:rPr>
                <w:noProof/>
                <w:webHidden/>
              </w:rPr>
              <w:t>7</w:t>
            </w:r>
            <w:r>
              <w:rPr>
                <w:noProof/>
                <w:webHidden/>
              </w:rPr>
              <w:fldChar w:fldCharType="end"/>
            </w:r>
          </w:hyperlink>
        </w:p>
        <w:p w14:paraId="59D597F4" w14:textId="18540CA1" w:rsidR="00DC2FBF" w:rsidRDefault="00DC2FBF">
          <w:pPr>
            <w:pStyle w:val="TOC1"/>
            <w:rPr>
              <w:rFonts w:cstheme="minorBidi"/>
              <w:noProof/>
              <w:kern w:val="2"/>
              <w:sz w:val="24"/>
              <w:szCs w:val="24"/>
              <w14:ligatures w14:val="standardContextual"/>
            </w:rPr>
          </w:pPr>
          <w:hyperlink w:anchor="_Toc194319282" w:history="1">
            <w:r w:rsidRPr="00907D63">
              <w:rPr>
                <w:rStyle w:val="Hyperlink"/>
                <w:rFonts w:cs="Arial"/>
                <w:noProof/>
              </w:rPr>
              <w:t>7</w:t>
            </w:r>
            <w:r>
              <w:rPr>
                <w:rFonts w:cstheme="minorBidi"/>
                <w:noProof/>
                <w:kern w:val="2"/>
                <w:sz w:val="24"/>
                <w:szCs w:val="24"/>
                <w14:ligatures w14:val="standardContextual"/>
              </w:rPr>
              <w:tab/>
            </w:r>
            <w:r w:rsidRPr="00907D63">
              <w:rPr>
                <w:rStyle w:val="Hyperlink"/>
                <w:rFonts w:cs="Arial"/>
                <w:noProof/>
              </w:rPr>
              <w:t>RELATIONSHIP BETWEEN CHIEF OFFICERS' AND OTHER EMPLOYEES' PAY</w:t>
            </w:r>
            <w:r>
              <w:rPr>
                <w:noProof/>
                <w:webHidden/>
              </w:rPr>
              <w:tab/>
            </w:r>
            <w:r>
              <w:rPr>
                <w:noProof/>
                <w:webHidden/>
              </w:rPr>
              <w:fldChar w:fldCharType="begin"/>
            </w:r>
            <w:r>
              <w:rPr>
                <w:noProof/>
                <w:webHidden/>
              </w:rPr>
              <w:instrText xml:space="preserve"> PAGEREF _Toc194319282 \h </w:instrText>
            </w:r>
            <w:r>
              <w:rPr>
                <w:noProof/>
                <w:webHidden/>
              </w:rPr>
            </w:r>
            <w:r>
              <w:rPr>
                <w:noProof/>
                <w:webHidden/>
              </w:rPr>
              <w:fldChar w:fldCharType="separate"/>
            </w:r>
            <w:r>
              <w:rPr>
                <w:noProof/>
                <w:webHidden/>
              </w:rPr>
              <w:t>7</w:t>
            </w:r>
            <w:r>
              <w:rPr>
                <w:noProof/>
                <w:webHidden/>
              </w:rPr>
              <w:fldChar w:fldCharType="end"/>
            </w:r>
          </w:hyperlink>
        </w:p>
        <w:p w14:paraId="72333F2F" w14:textId="3199F02A" w:rsidR="00DC2FBF" w:rsidRDefault="00DC2FBF">
          <w:pPr>
            <w:pStyle w:val="TOC1"/>
            <w:rPr>
              <w:rFonts w:cstheme="minorBidi"/>
              <w:noProof/>
              <w:kern w:val="2"/>
              <w:sz w:val="24"/>
              <w:szCs w:val="24"/>
              <w14:ligatures w14:val="standardContextual"/>
            </w:rPr>
          </w:pPr>
          <w:hyperlink w:anchor="_Toc194319283" w:history="1">
            <w:r w:rsidRPr="00907D63">
              <w:rPr>
                <w:rStyle w:val="Hyperlink"/>
                <w:rFonts w:cs="Arial"/>
                <w:noProof/>
              </w:rPr>
              <w:t>8</w:t>
            </w:r>
            <w:r>
              <w:rPr>
                <w:rFonts w:cstheme="minorBidi"/>
                <w:noProof/>
                <w:kern w:val="2"/>
                <w:sz w:val="24"/>
                <w:szCs w:val="24"/>
                <w14:ligatures w14:val="standardContextual"/>
              </w:rPr>
              <w:tab/>
            </w:r>
            <w:r w:rsidRPr="00907D63">
              <w:rPr>
                <w:rStyle w:val="Hyperlink"/>
                <w:rFonts w:cs="Arial"/>
                <w:noProof/>
              </w:rPr>
              <w:t>PUBLICATION OF INFORMATION</w:t>
            </w:r>
            <w:r>
              <w:rPr>
                <w:noProof/>
                <w:webHidden/>
              </w:rPr>
              <w:tab/>
            </w:r>
            <w:r>
              <w:rPr>
                <w:noProof/>
                <w:webHidden/>
              </w:rPr>
              <w:fldChar w:fldCharType="begin"/>
            </w:r>
            <w:r>
              <w:rPr>
                <w:noProof/>
                <w:webHidden/>
              </w:rPr>
              <w:instrText xml:space="preserve"> PAGEREF _Toc194319283 \h </w:instrText>
            </w:r>
            <w:r>
              <w:rPr>
                <w:noProof/>
                <w:webHidden/>
              </w:rPr>
            </w:r>
            <w:r>
              <w:rPr>
                <w:noProof/>
                <w:webHidden/>
              </w:rPr>
              <w:fldChar w:fldCharType="separate"/>
            </w:r>
            <w:r>
              <w:rPr>
                <w:noProof/>
                <w:webHidden/>
              </w:rPr>
              <w:t>7</w:t>
            </w:r>
            <w:r>
              <w:rPr>
                <w:noProof/>
                <w:webHidden/>
              </w:rPr>
              <w:fldChar w:fldCharType="end"/>
            </w:r>
          </w:hyperlink>
        </w:p>
        <w:p w14:paraId="330BDC38" w14:textId="519D3A3C" w:rsidR="00DC2FBF" w:rsidRDefault="00DC2FBF">
          <w:pPr>
            <w:pStyle w:val="TOC1"/>
            <w:rPr>
              <w:rFonts w:cstheme="minorBidi"/>
              <w:noProof/>
              <w:kern w:val="2"/>
              <w:sz w:val="24"/>
              <w:szCs w:val="24"/>
              <w14:ligatures w14:val="standardContextual"/>
            </w:rPr>
          </w:pPr>
          <w:hyperlink w:anchor="_Toc194319284" w:history="1">
            <w:r w:rsidRPr="00907D63">
              <w:rPr>
                <w:rStyle w:val="Hyperlink"/>
                <w:noProof/>
              </w:rPr>
              <w:t>Annex 1: Green Book pay from 1 April 2024</w:t>
            </w:r>
            <w:r>
              <w:rPr>
                <w:noProof/>
                <w:webHidden/>
              </w:rPr>
              <w:tab/>
            </w:r>
            <w:r>
              <w:rPr>
                <w:noProof/>
                <w:webHidden/>
              </w:rPr>
              <w:fldChar w:fldCharType="begin"/>
            </w:r>
            <w:r>
              <w:rPr>
                <w:noProof/>
                <w:webHidden/>
              </w:rPr>
              <w:instrText xml:space="preserve"> PAGEREF _Toc194319284 \h </w:instrText>
            </w:r>
            <w:r>
              <w:rPr>
                <w:noProof/>
                <w:webHidden/>
              </w:rPr>
            </w:r>
            <w:r>
              <w:rPr>
                <w:noProof/>
                <w:webHidden/>
              </w:rPr>
              <w:fldChar w:fldCharType="separate"/>
            </w:r>
            <w:r>
              <w:rPr>
                <w:noProof/>
                <w:webHidden/>
              </w:rPr>
              <w:t>8</w:t>
            </w:r>
            <w:r>
              <w:rPr>
                <w:noProof/>
                <w:webHidden/>
              </w:rPr>
              <w:fldChar w:fldCharType="end"/>
            </w:r>
          </w:hyperlink>
        </w:p>
        <w:p w14:paraId="690C2AC8" w14:textId="59BB3FE3" w:rsidR="00DC2FBF" w:rsidRDefault="00DC2FBF">
          <w:pPr>
            <w:pStyle w:val="TOC1"/>
            <w:rPr>
              <w:rFonts w:cstheme="minorBidi"/>
              <w:noProof/>
              <w:kern w:val="2"/>
              <w:sz w:val="24"/>
              <w:szCs w:val="24"/>
              <w14:ligatures w14:val="standardContextual"/>
            </w:rPr>
          </w:pPr>
          <w:hyperlink w:anchor="_Toc194319285" w:history="1">
            <w:r w:rsidRPr="00907D63">
              <w:rPr>
                <w:rStyle w:val="Hyperlink"/>
                <w:noProof/>
              </w:rPr>
              <w:t>Annex 2: Grey Book pay from 1 July 2024</w:t>
            </w:r>
            <w:r>
              <w:rPr>
                <w:noProof/>
                <w:webHidden/>
              </w:rPr>
              <w:tab/>
            </w:r>
            <w:r>
              <w:rPr>
                <w:noProof/>
                <w:webHidden/>
              </w:rPr>
              <w:fldChar w:fldCharType="begin"/>
            </w:r>
            <w:r>
              <w:rPr>
                <w:noProof/>
                <w:webHidden/>
              </w:rPr>
              <w:instrText xml:space="preserve"> PAGEREF _Toc194319285 \h </w:instrText>
            </w:r>
            <w:r>
              <w:rPr>
                <w:noProof/>
                <w:webHidden/>
              </w:rPr>
            </w:r>
            <w:r>
              <w:rPr>
                <w:noProof/>
                <w:webHidden/>
              </w:rPr>
              <w:fldChar w:fldCharType="separate"/>
            </w:r>
            <w:r>
              <w:rPr>
                <w:noProof/>
                <w:webHidden/>
              </w:rPr>
              <w:t>9</w:t>
            </w:r>
            <w:r>
              <w:rPr>
                <w:noProof/>
                <w:webHidden/>
              </w:rPr>
              <w:fldChar w:fldCharType="end"/>
            </w:r>
          </w:hyperlink>
        </w:p>
        <w:p w14:paraId="12D21DB7" w14:textId="78F6634F" w:rsidR="00DC2FBF" w:rsidRDefault="00DC2FBF">
          <w:pPr>
            <w:pStyle w:val="TOC1"/>
            <w:rPr>
              <w:rFonts w:cstheme="minorBidi"/>
              <w:noProof/>
              <w:kern w:val="2"/>
              <w:sz w:val="24"/>
              <w:szCs w:val="24"/>
              <w14:ligatures w14:val="standardContextual"/>
            </w:rPr>
          </w:pPr>
          <w:hyperlink w:anchor="_Toc194319286" w:history="1">
            <w:r w:rsidRPr="00907D63">
              <w:rPr>
                <w:rStyle w:val="Hyperlink"/>
                <w:noProof/>
              </w:rPr>
              <w:t>Annex 3: Apprentices’ pay from 1 April 2025</w:t>
            </w:r>
            <w:r>
              <w:rPr>
                <w:noProof/>
                <w:webHidden/>
              </w:rPr>
              <w:tab/>
            </w:r>
            <w:r>
              <w:rPr>
                <w:noProof/>
                <w:webHidden/>
              </w:rPr>
              <w:fldChar w:fldCharType="begin"/>
            </w:r>
            <w:r>
              <w:rPr>
                <w:noProof/>
                <w:webHidden/>
              </w:rPr>
              <w:instrText xml:space="preserve"> PAGEREF _Toc194319286 \h </w:instrText>
            </w:r>
            <w:r>
              <w:rPr>
                <w:noProof/>
                <w:webHidden/>
              </w:rPr>
            </w:r>
            <w:r>
              <w:rPr>
                <w:noProof/>
                <w:webHidden/>
              </w:rPr>
              <w:fldChar w:fldCharType="separate"/>
            </w:r>
            <w:r>
              <w:rPr>
                <w:noProof/>
                <w:webHidden/>
              </w:rPr>
              <w:t>9</w:t>
            </w:r>
            <w:r>
              <w:rPr>
                <w:noProof/>
                <w:webHidden/>
              </w:rPr>
              <w:fldChar w:fldCharType="end"/>
            </w:r>
          </w:hyperlink>
        </w:p>
        <w:p w14:paraId="21CAADE7" w14:textId="1CA72790" w:rsidR="00DC2FBF" w:rsidRDefault="00DC2FBF">
          <w:pPr>
            <w:pStyle w:val="TOC1"/>
            <w:rPr>
              <w:rFonts w:cstheme="minorBidi"/>
              <w:noProof/>
              <w:kern w:val="2"/>
              <w:sz w:val="24"/>
              <w:szCs w:val="24"/>
              <w14:ligatures w14:val="standardContextual"/>
            </w:rPr>
          </w:pPr>
          <w:hyperlink w:anchor="_Toc194319287" w:history="1">
            <w:r w:rsidRPr="00907D63">
              <w:rPr>
                <w:rStyle w:val="Hyperlink"/>
                <w:noProof/>
              </w:rPr>
              <w:t>Annex 4: Chief officers’ pay</w:t>
            </w:r>
            <w:r>
              <w:rPr>
                <w:noProof/>
                <w:webHidden/>
              </w:rPr>
              <w:tab/>
            </w:r>
            <w:r>
              <w:rPr>
                <w:noProof/>
                <w:webHidden/>
              </w:rPr>
              <w:fldChar w:fldCharType="begin"/>
            </w:r>
            <w:r>
              <w:rPr>
                <w:noProof/>
                <w:webHidden/>
              </w:rPr>
              <w:instrText xml:space="preserve"> PAGEREF _Toc194319287 \h </w:instrText>
            </w:r>
            <w:r>
              <w:rPr>
                <w:noProof/>
                <w:webHidden/>
              </w:rPr>
            </w:r>
            <w:r>
              <w:rPr>
                <w:noProof/>
                <w:webHidden/>
              </w:rPr>
              <w:fldChar w:fldCharType="separate"/>
            </w:r>
            <w:r>
              <w:rPr>
                <w:noProof/>
                <w:webHidden/>
              </w:rPr>
              <w:t>10</w:t>
            </w:r>
            <w:r>
              <w:rPr>
                <w:noProof/>
                <w:webHidden/>
              </w:rPr>
              <w:fldChar w:fldCharType="end"/>
            </w:r>
          </w:hyperlink>
        </w:p>
        <w:p w14:paraId="0C87D5EC" w14:textId="777E4823" w:rsidR="00231C80" w:rsidRPr="001F0712" w:rsidRDefault="00231C80">
          <w:pPr>
            <w:rPr>
              <w:rFonts w:ascii="Arial" w:hAnsi="Arial" w:cs="Arial"/>
            </w:rPr>
          </w:pPr>
          <w:r w:rsidRPr="001F0712">
            <w:rPr>
              <w:rFonts w:ascii="Arial" w:hAnsi="Arial" w:cs="Arial"/>
              <w:b/>
              <w:bCs/>
            </w:rPr>
            <w:fldChar w:fldCharType="end"/>
          </w:r>
        </w:p>
      </w:sdtContent>
    </w:sdt>
    <w:p w14:paraId="01049568" w14:textId="77777777" w:rsidR="0089151A" w:rsidRPr="001F0712" w:rsidRDefault="0089151A" w:rsidP="001F16C7">
      <w:pPr>
        <w:rPr>
          <w:rFonts w:ascii="Arial" w:hAnsi="Arial" w:cs="Arial"/>
        </w:rPr>
      </w:pPr>
    </w:p>
    <w:p w14:paraId="02AA6230" w14:textId="77777777" w:rsidR="0089151A" w:rsidRPr="001F0712" w:rsidRDefault="0089151A" w:rsidP="001F16C7">
      <w:pPr>
        <w:rPr>
          <w:rFonts w:ascii="Arial" w:hAnsi="Arial" w:cs="Arial"/>
        </w:rPr>
      </w:pPr>
    </w:p>
    <w:p w14:paraId="044B32A0" w14:textId="77777777" w:rsidR="00827BBD" w:rsidRPr="001F0712" w:rsidRDefault="00827BBD" w:rsidP="001F16C7">
      <w:pPr>
        <w:rPr>
          <w:rFonts w:ascii="Arial" w:hAnsi="Arial" w:cs="Arial"/>
        </w:rPr>
      </w:pPr>
    </w:p>
    <w:p w14:paraId="00BE4DDD" w14:textId="77777777" w:rsidR="00576432" w:rsidRPr="001F0712" w:rsidRDefault="00576432">
      <w:pPr>
        <w:rPr>
          <w:rFonts w:ascii="Arial" w:hAnsi="Arial" w:cs="Arial"/>
          <w:b/>
          <w:szCs w:val="20"/>
          <w:lang w:eastAsia="en-US"/>
        </w:rPr>
      </w:pPr>
      <w:r w:rsidRPr="001F0712">
        <w:rPr>
          <w:rFonts w:ascii="Arial" w:hAnsi="Arial" w:cs="Arial"/>
        </w:rPr>
        <w:br w:type="page"/>
      </w:r>
    </w:p>
    <w:p w14:paraId="53E1DA4C" w14:textId="5EFF3C6F" w:rsidR="00ED1B95" w:rsidRPr="001F0712" w:rsidRDefault="00BD157F" w:rsidP="00C31FA3">
      <w:pPr>
        <w:pStyle w:val="Heading1"/>
        <w:numPr>
          <w:ilvl w:val="0"/>
          <w:numId w:val="1"/>
        </w:numPr>
        <w:ind w:left="709" w:hanging="709"/>
        <w:rPr>
          <w:rFonts w:cs="Arial"/>
        </w:rPr>
      </w:pPr>
      <w:bookmarkStart w:id="0" w:name="_Toc194319263"/>
      <w:r w:rsidRPr="001F0712">
        <w:rPr>
          <w:rFonts w:cs="Arial"/>
        </w:rPr>
        <w:lastRenderedPageBreak/>
        <w:t>SCOPE AND PURPOSE</w:t>
      </w:r>
      <w:r w:rsidR="009B2966" w:rsidRPr="001F0712">
        <w:rPr>
          <w:rFonts w:cs="Arial"/>
        </w:rPr>
        <w:t xml:space="preserve"> OF POLICY</w:t>
      </w:r>
      <w:bookmarkEnd w:id="0"/>
    </w:p>
    <w:p w14:paraId="5B0F5F10" w14:textId="66452F17" w:rsidR="002D11AC" w:rsidRPr="001F0712" w:rsidRDefault="009B2966" w:rsidP="002B681F">
      <w:pPr>
        <w:numPr>
          <w:ilvl w:val="1"/>
          <w:numId w:val="1"/>
        </w:numPr>
        <w:ind w:left="709" w:right="-483" w:hanging="709"/>
        <w:rPr>
          <w:rFonts w:ascii="Arial" w:hAnsi="Arial" w:cs="Arial"/>
        </w:rPr>
      </w:pPr>
      <w:r w:rsidRPr="001F0712">
        <w:rPr>
          <w:rFonts w:ascii="Arial" w:hAnsi="Arial" w:cs="Arial"/>
        </w:rPr>
        <w:t>The aim of this document is t</w:t>
      </w:r>
      <w:r w:rsidR="00ED1B95" w:rsidRPr="001F0712">
        <w:rPr>
          <w:rFonts w:ascii="Arial" w:hAnsi="Arial" w:cs="Arial"/>
        </w:rPr>
        <w:t>o set out the</w:t>
      </w:r>
      <w:r w:rsidR="004700BC" w:rsidRPr="001F0712">
        <w:rPr>
          <w:rFonts w:ascii="Arial" w:hAnsi="Arial" w:cs="Arial"/>
        </w:rPr>
        <w:t xml:space="preserve"> Authority’s</w:t>
      </w:r>
      <w:r w:rsidR="00ED1B95" w:rsidRPr="001F0712">
        <w:rPr>
          <w:rFonts w:ascii="Arial" w:hAnsi="Arial" w:cs="Arial"/>
        </w:rPr>
        <w:t xml:space="preserve"> pay policy </w:t>
      </w:r>
      <w:r w:rsidR="004700BC" w:rsidRPr="001F0712">
        <w:rPr>
          <w:rFonts w:ascii="Arial" w:hAnsi="Arial" w:cs="Arial"/>
        </w:rPr>
        <w:t xml:space="preserve">in relation to the remuneration of its </w:t>
      </w:r>
      <w:r w:rsidR="00404C40" w:rsidRPr="001F0712">
        <w:rPr>
          <w:rFonts w:ascii="Arial" w:hAnsi="Arial" w:cs="Arial"/>
        </w:rPr>
        <w:t>employees</w:t>
      </w:r>
      <w:r w:rsidR="00A44C12" w:rsidRPr="001F0712">
        <w:rPr>
          <w:rFonts w:ascii="Arial" w:hAnsi="Arial" w:cs="Arial"/>
        </w:rPr>
        <w:t>, particularly its senior officers</w:t>
      </w:r>
      <w:r w:rsidR="00BC2BE1" w:rsidRPr="001F0712">
        <w:rPr>
          <w:rFonts w:ascii="Arial" w:hAnsi="Arial" w:cs="Arial"/>
        </w:rPr>
        <w:t>, in accordance with Section 38 (1) of the Localism Act 2011</w:t>
      </w:r>
      <w:r w:rsidR="003E1511" w:rsidRPr="001F0712">
        <w:rPr>
          <w:rFonts w:ascii="Arial" w:hAnsi="Arial" w:cs="Arial"/>
        </w:rPr>
        <w:t xml:space="preserve"> and</w:t>
      </w:r>
      <w:r w:rsidR="00F4452A" w:rsidRPr="001F0712">
        <w:rPr>
          <w:rFonts w:ascii="Arial" w:hAnsi="Arial" w:cs="Arial"/>
        </w:rPr>
        <w:t xml:space="preserve"> </w:t>
      </w:r>
      <w:proofErr w:type="gramStart"/>
      <w:r w:rsidR="00F4452A" w:rsidRPr="001F0712">
        <w:rPr>
          <w:rFonts w:ascii="Arial" w:hAnsi="Arial" w:cs="Arial"/>
        </w:rPr>
        <w:t>taking into account</w:t>
      </w:r>
      <w:proofErr w:type="gramEnd"/>
      <w:r w:rsidR="00F4452A" w:rsidRPr="001F0712">
        <w:rPr>
          <w:rFonts w:ascii="Arial" w:hAnsi="Arial" w:cs="Arial"/>
        </w:rPr>
        <w:t xml:space="preserve"> national guidance issued by the government under section 40 of the Act</w:t>
      </w:r>
      <w:r w:rsidRPr="001F0712">
        <w:rPr>
          <w:rFonts w:ascii="Arial" w:hAnsi="Arial" w:cs="Arial"/>
        </w:rPr>
        <w:t>.</w:t>
      </w:r>
    </w:p>
    <w:p w14:paraId="4CB008E8" w14:textId="77777777" w:rsidR="009B2966" w:rsidRPr="001F0712" w:rsidRDefault="009B2966" w:rsidP="008C64A9">
      <w:pPr>
        <w:ind w:left="709" w:right="-483"/>
        <w:rPr>
          <w:rFonts w:ascii="Arial" w:hAnsi="Arial" w:cs="Arial"/>
        </w:rPr>
      </w:pPr>
    </w:p>
    <w:p w14:paraId="412F4768" w14:textId="437765A5" w:rsidR="000623DF" w:rsidRPr="001F0712" w:rsidRDefault="000623DF" w:rsidP="006E6B9D">
      <w:pPr>
        <w:numPr>
          <w:ilvl w:val="1"/>
          <w:numId w:val="1"/>
        </w:numPr>
        <w:ind w:left="709" w:right="-483" w:hanging="709"/>
        <w:rPr>
          <w:rFonts w:ascii="Arial" w:hAnsi="Arial" w:cs="Arial"/>
        </w:rPr>
      </w:pPr>
      <w:r w:rsidRPr="001F0712">
        <w:rPr>
          <w:rFonts w:ascii="Arial" w:hAnsi="Arial" w:cs="Arial"/>
        </w:rPr>
        <w:t>The Act’s primary intention is to increase accountability, transparency and fairness in the setting of local pay</w:t>
      </w:r>
      <w:r w:rsidR="006836AA" w:rsidRPr="001F0712">
        <w:rPr>
          <w:rFonts w:ascii="Arial" w:hAnsi="Arial" w:cs="Arial"/>
        </w:rPr>
        <w:t xml:space="preserve"> by strengthening the role of Members</w:t>
      </w:r>
      <w:r w:rsidR="00966158" w:rsidRPr="001F0712">
        <w:rPr>
          <w:rFonts w:ascii="Arial" w:hAnsi="Arial" w:cs="Arial"/>
        </w:rPr>
        <w:t xml:space="preserve"> of the Authority </w:t>
      </w:r>
      <w:r w:rsidR="006836AA" w:rsidRPr="001F0712">
        <w:rPr>
          <w:rFonts w:ascii="Arial" w:hAnsi="Arial" w:cs="Arial"/>
        </w:rPr>
        <w:t>in determining pay structures and providing information to local communities</w:t>
      </w:r>
      <w:r w:rsidRPr="001F0712">
        <w:rPr>
          <w:rFonts w:ascii="Arial" w:hAnsi="Arial" w:cs="Arial"/>
        </w:rPr>
        <w:t xml:space="preserve">. </w:t>
      </w:r>
      <w:proofErr w:type="gramStart"/>
      <w:r w:rsidRPr="001F0712">
        <w:rPr>
          <w:rFonts w:ascii="Arial" w:hAnsi="Arial" w:cs="Arial"/>
        </w:rPr>
        <w:t>In particular, there</w:t>
      </w:r>
      <w:proofErr w:type="gramEnd"/>
      <w:r w:rsidRPr="001F0712">
        <w:rPr>
          <w:rFonts w:ascii="Arial" w:hAnsi="Arial" w:cs="Arial"/>
        </w:rPr>
        <w:t xml:space="preserve"> is a focus on senior management pay to ensure that it is commensurate with </w:t>
      </w:r>
      <w:r w:rsidR="006836AA" w:rsidRPr="001F0712">
        <w:rPr>
          <w:rFonts w:ascii="Arial" w:hAnsi="Arial" w:cs="Arial"/>
        </w:rPr>
        <w:t>responsibilities and set in the context of the wider workforce.</w:t>
      </w:r>
      <w:r w:rsidRPr="001F0712">
        <w:rPr>
          <w:rFonts w:ascii="Arial" w:hAnsi="Arial" w:cs="Arial"/>
        </w:rPr>
        <w:t xml:space="preserve"> </w:t>
      </w:r>
    </w:p>
    <w:p w14:paraId="1123093F" w14:textId="77777777" w:rsidR="008C7FCA" w:rsidRPr="001F0712" w:rsidRDefault="008C7FCA" w:rsidP="008C7FCA">
      <w:pPr>
        <w:pStyle w:val="ListParagraph"/>
        <w:rPr>
          <w:rFonts w:ascii="Arial" w:hAnsi="Arial" w:cs="Arial"/>
        </w:rPr>
      </w:pPr>
    </w:p>
    <w:p w14:paraId="07FC90B9" w14:textId="419FD683" w:rsidR="005B037D" w:rsidRPr="001F0712" w:rsidRDefault="005B037D" w:rsidP="005B037D">
      <w:pPr>
        <w:numPr>
          <w:ilvl w:val="1"/>
          <w:numId w:val="1"/>
        </w:numPr>
        <w:ind w:left="709" w:right="-483" w:hanging="709"/>
        <w:rPr>
          <w:rFonts w:ascii="Arial" w:hAnsi="Arial" w:cs="Arial"/>
        </w:rPr>
      </w:pPr>
      <w:r w:rsidRPr="001F0712">
        <w:rPr>
          <w:rFonts w:ascii="Arial" w:hAnsi="Arial" w:cs="Arial"/>
        </w:rPr>
        <w:t xml:space="preserve">The Statement provides transparency about the Authority’s approach to setting employee pay by identifying: </w:t>
      </w:r>
    </w:p>
    <w:p w14:paraId="7F48ACCB" w14:textId="77777777" w:rsidR="005B037D" w:rsidRPr="001F0712" w:rsidRDefault="005B037D" w:rsidP="005B037D">
      <w:pPr>
        <w:pStyle w:val="ListParagraph"/>
        <w:rPr>
          <w:rFonts w:ascii="Arial" w:hAnsi="Arial" w:cs="Arial"/>
          <w:sz w:val="14"/>
          <w:szCs w:val="14"/>
        </w:rPr>
      </w:pPr>
    </w:p>
    <w:p w14:paraId="2219F2AA" w14:textId="0AC3470F" w:rsidR="005B037D" w:rsidRPr="001F0712" w:rsidRDefault="005B037D" w:rsidP="005B037D">
      <w:pPr>
        <w:pStyle w:val="ListParagraph"/>
        <w:numPr>
          <w:ilvl w:val="0"/>
          <w:numId w:val="18"/>
        </w:numPr>
        <w:ind w:right="-483"/>
        <w:rPr>
          <w:rFonts w:ascii="Arial" w:hAnsi="Arial" w:cs="Arial"/>
        </w:rPr>
      </w:pPr>
      <w:r w:rsidRPr="001F0712">
        <w:rPr>
          <w:rFonts w:ascii="Arial" w:hAnsi="Arial" w:cs="Arial"/>
        </w:rPr>
        <w:t xml:space="preserve">The methods by which employees’ salaries are determined and </w:t>
      </w:r>
      <w:r w:rsidR="00DC182B">
        <w:rPr>
          <w:rFonts w:ascii="Arial" w:hAnsi="Arial" w:cs="Arial"/>
        </w:rPr>
        <w:t xml:space="preserve">publication of </w:t>
      </w:r>
      <w:r w:rsidRPr="001F0712">
        <w:rPr>
          <w:rFonts w:ascii="Arial" w:hAnsi="Arial" w:cs="Arial"/>
        </w:rPr>
        <w:t>the Authority’s salary scales; and</w:t>
      </w:r>
    </w:p>
    <w:p w14:paraId="587F349B" w14:textId="2CCA8A9A" w:rsidR="005B037D" w:rsidRPr="001F0712" w:rsidRDefault="005B037D" w:rsidP="005B037D">
      <w:pPr>
        <w:pStyle w:val="ListParagraph"/>
        <w:numPr>
          <w:ilvl w:val="0"/>
          <w:numId w:val="18"/>
        </w:numPr>
        <w:ind w:right="-483"/>
        <w:rPr>
          <w:rFonts w:ascii="Arial" w:hAnsi="Arial" w:cs="Arial"/>
        </w:rPr>
      </w:pPr>
      <w:r w:rsidRPr="001F0712">
        <w:rPr>
          <w:rFonts w:ascii="Arial" w:hAnsi="Arial" w:cs="Arial"/>
        </w:rPr>
        <w:t xml:space="preserve">The detail and level of remuneration of its </w:t>
      </w:r>
      <w:r w:rsidR="00D567C5" w:rsidRPr="001F0712">
        <w:rPr>
          <w:rFonts w:ascii="Arial" w:hAnsi="Arial" w:cs="Arial"/>
        </w:rPr>
        <w:t>c</w:t>
      </w:r>
      <w:r w:rsidRPr="001F0712">
        <w:rPr>
          <w:rFonts w:ascii="Arial" w:hAnsi="Arial" w:cs="Arial"/>
        </w:rPr>
        <w:t xml:space="preserve">hief </w:t>
      </w:r>
      <w:r w:rsidR="00D567C5" w:rsidRPr="001F0712">
        <w:rPr>
          <w:rFonts w:ascii="Arial" w:hAnsi="Arial" w:cs="Arial"/>
        </w:rPr>
        <w:t>o</w:t>
      </w:r>
      <w:r w:rsidRPr="001F0712">
        <w:rPr>
          <w:rFonts w:ascii="Arial" w:hAnsi="Arial" w:cs="Arial"/>
        </w:rPr>
        <w:t xml:space="preserve">fficers (as defined </w:t>
      </w:r>
      <w:r w:rsidR="00026353" w:rsidRPr="001F0712">
        <w:rPr>
          <w:rFonts w:ascii="Arial" w:hAnsi="Arial" w:cs="Arial"/>
        </w:rPr>
        <w:t>below).</w:t>
      </w:r>
    </w:p>
    <w:p w14:paraId="1AF61EC5" w14:textId="77777777" w:rsidR="001341C8" w:rsidRPr="001F0712" w:rsidRDefault="001341C8" w:rsidP="008C64A9">
      <w:pPr>
        <w:autoSpaceDE w:val="0"/>
        <w:autoSpaceDN w:val="0"/>
        <w:adjustRightInd w:val="0"/>
        <w:ind w:left="709" w:right="-483"/>
        <w:rPr>
          <w:rFonts w:ascii="Arial" w:hAnsi="Arial" w:cs="Arial"/>
        </w:rPr>
      </w:pPr>
    </w:p>
    <w:p w14:paraId="44979CFF" w14:textId="486083E3" w:rsidR="0040776D" w:rsidRPr="001F0712" w:rsidRDefault="001341C8" w:rsidP="006E6B9D">
      <w:pPr>
        <w:numPr>
          <w:ilvl w:val="1"/>
          <w:numId w:val="1"/>
        </w:numPr>
        <w:ind w:left="709" w:right="-483" w:hanging="709"/>
        <w:rPr>
          <w:rFonts w:ascii="Arial" w:hAnsi="Arial" w:cs="Arial"/>
        </w:rPr>
      </w:pPr>
      <w:r w:rsidRPr="001F0712">
        <w:rPr>
          <w:rFonts w:ascii="Arial" w:hAnsi="Arial" w:cs="Arial"/>
        </w:rPr>
        <w:t>The key principles of the policy are set out below and are effective from 1 April 2025. The policy</w:t>
      </w:r>
      <w:r w:rsidR="0040776D" w:rsidRPr="001F0712">
        <w:rPr>
          <w:rFonts w:ascii="Arial" w:hAnsi="Arial" w:cs="Arial"/>
        </w:rPr>
        <w:t xml:space="preserve"> is expected to</w:t>
      </w:r>
      <w:r w:rsidR="000623DF" w:rsidRPr="001F0712">
        <w:rPr>
          <w:rFonts w:ascii="Arial" w:hAnsi="Arial" w:cs="Arial"/>
        </w:rPr>
        <w:t>, as a minimum,</w:t>
      </w:r>
      <w:r w:rsidR="0040776D" w:rsidRPr="001F0712">
        <w:rPr>
          <w:rFonts w:ascii="Arial" w:hAnsi="Arial" w:cs="Arial"/>
        </w:rPr>
        <w:t xml:space="preserve"> comply with the following</w:t>
      </w:r>
      <w:r w:rsidR="000623DF" w:rsidRPr="001F0712">
        <w:rPr>
          <w:rFonts w:ascii="Arial" w:hAnsi="Arial" w:cs="Arial"/>
        </w:rPr>
        <w:t xml:space="preserve"> requirements</w:t>
      </w:r>
      <w:r w:rsidR="0040776D" w:rsidRPr="001F0712">
        <w:rPr>
          <w:rFonts w:ascii="Arial" w:hAnsi="Arial" w:cs="Arial"/>
        </w:rPr>
        <w:t>:</w:t>
      </w:r>
    </w:p>
    <w:p w14:paraId="076ECC11" w14:textId="77777777" w:rsidR="0040776D" w:rsidRPr="001F0712" w:rsidRDefault="0040776D" w:rsidP="008C64A9">
      <w:pPr>
        <w:autoSpaceDE w:val="0"/>
        <w:autoSpaceDN w:val="0"/>
        <w:adjustRightInd w:val="0"/>
        <w:ind w:left="709" w:right="-483"/>
        <w:rPr>
          <w:rFonts w:ascii="Arial" w:hAnsi="Arial" w:cs="Arial"/>
          <w:sz w:val="14"/>
          <w:szCs w:val="14"/>
        </w:rPr>
      </w:pPr>
    </w:p>
    <w:p w14:paraId="42B736AE" w14:textId="683CC9ED" w:rsidR="000623DF" w:rsidRPr="001F0712" w:rsidRDefault="001341C8" w:rsidP="006E6B9D">
      <w:pPr>
        <w:pStyle w:val="ListParagraph"/>
        <w:numPr>
          <w:ilvl w:val="0"/>
          <w:numId w:val="18"/>
        </w:numPr>
        <w:ind w:right="-483"/>
        <w:rPr>
          <w:rFonts w:ascii="Arial" w:hAnsi="Arial" w:cs="Arial"/>
        </w:rPr>
      </w:pPr>
      <w:r w:rsidRPr="001F0712">
        <w:rPr>
          <w:rFonts w:ascii="Arial" w:hAnsi="Arial" w:cs="Arial"/>
        </w:rPr>
        <w:t xml:space="preserve">Definitions of </w:t>
      </w:r>
      <w:r w:rsidR="00B16C46">
        <w:rPr>
          <w:rFonts w:ascii="Arial" w:hAnsi="Arial" w:cs="Arial"/>
        </w:rPr>
        <w:t>c</w:t>
      </w:r>
      <w:r w:rsidR="0040776D" w:rsidRPr="001F0712">
        <w:rPr>
          <w:rFonts w:ascii="Arial" w:hAnsi="Arial" w:cs="Arial"/>
          <w:i/>
          <w:iCs/>
        </w:rPr>
        <w:t xml:space="preserve">hief </w:t>
      </w:r>
      <w:r w:rsidR="00B16C46">
        <w:rPr>
          <w:rFonts w:ascii="Arial" w:hAnsi="Arial" w:cs="Arial"/>
          <w:i/>
          <w:iCs/>
        </w:rPr>
        <w:t>o</w:t>
      </w:r>
      <w:r w:rsidR="0040776D" w:rsidRPr="001F0712">
        <w:rPr>
          <w:rFonts w:ascii="Arial" w:hAnsi="Arial" w:cs="Arial"/>
          <w:i/>
          <w:iCs/>
        </w:rPr>
        <w:t>fficers</w:t>
      </w:r>
      <w:r w:rsidR="004700BC" w:rsidRPr="001F0712">
        <w:rPr>
          <w:rFonts w:ascii="Arial" w:hAnsi="Arial" w:cs="Arial"/>
        </w:rPr>
        <w:t xml:space="preserve"> and</w:t>
      </w:r>
      <w:r w:rsidR="000623DF" w:rsidRPr="001F0712">
        <w:rPr>
          <w:rFonts w:ascii="Arial" w:hAnsi="Arial" w:cs="Arial"/>
        </w:rPr>
        <w:t xml:space="preserve"> their </w:t>
      </w:r>
      <w:proofErr w:type="gramStart"/>
      <w:r w:rsidR="000623DF" w:rsidRPr="001F0712">
        <w:rPr>
          <w:rFonts w:ascii="Arial" w:hAnsi="Arial" w:cs="Arial"/>
        </w:rPr>
        <w:t>remuneration;</w:t>
      </w:r>
      <w:proofErr w:type="gramEnd"/>
    </w:p>
    <w:p w14:paraId="75491894" w14:textId="6517E8B6" w:rsidR="000623DF" w:rsidRPr="001F0712" w:rsidRDefault="000623DF" w:rsidP="006E6B9D">
      <w:pPr>
        <w:pStyle w:val="ListParagraph"/>
        <w:numPr>
          <w:ilvl w:val="0"/>
          <w:numId w:val="18"/>
        </w:numPr>
        <w:ind w:right="-483"/>
        <w:rPr>
          <w:rFonts w:ascii="Arial" w:hAnsi="Arial" w:cs="Arial"/>
        </w:rPr>
      </w:pPr>
      <w:r w:rsidRPr="001F0712">
        <w:rPr>
          <w:rFonts w:ascii="Arial" w:hAnsi="Arial" w:cs="Arial"/>
        </w:rPr>
        <w:t>Definitions of</w:t>
      </w:r>
      <w:r w:rsidR="004700BC" w:rsidRPr="001F0712">
        <w:rPr>
          <w:rFonts w:ascii="Arial" w:hAnsi="Arial" w:cs="Arial"/>
        </w:rPr>
        <w:t xml:space="preserve"> </w:t>
      </w:r>
      <w:r w:rsidR="004700BC" w:rsidRPr="001F0712">
        <w:rPr>
          <w:rFonts w:ascii="Arial" w:hAnsi="Arial" w:cs="Arial"/>
          <w:i/>
          <w:iCs/>
        </w:rPr>
        <w:t>lowest</w:t>
      </w:r>
      <w:r w:rsidR="006D2180" w:rsidRPr="001F0712">
        <w:rPr>
          <w:rFonts w:ascii="Arial" w:hAnsi="Arial" w:cs="Arial"/>
          <w:i/>
          <w:iCs/>
        </w:rPr>
        <w:t>-</w:t>
      </w:r>
      <w:r w:rsidR="004700BC" w:rsidRPr="001F0712">
        <w:rPr>
          <w:rFonts w:ascii="Arial" w:hAnsi="Arial" w:cs="Arial"/>
          <w:i/>
          <w:iCs/>
        </w:rPr>
        <w:t>paid employees</w:t>
      </w:r>
      <w:r w:rsidRPr="001F0712">
        <w:rPr>
          <w:rFonts w:ascii="Arial" w:hAnsi="Arial" w:cs="Arial"/>
        </w:rPr>
        <w:t xml:space="preserve"> and their remuneration; and</w:t>
      </w:r>
    </w:p>
    <w:p w14:paraId="40974B18" w14:textId="17B0C2A9" w:rsidR="0040776D" w:rsidRPr="001F0712" w:rsidRDefault="000623DF" w:rsidP="006E6B9D">
      <w:pPr>
        <w:pStyle w:val="ListParagraph"/>
        <w:numPr>
          <w:ilvl w:val="0"/>
          <w:numId w:val="18"/>
        </w:numPr>
        <w:ind w:right="-483"/>
        <w:rPr>
          <w:rFonts w:ascii="Arial" w:hAnsi="Arial" w:cs="Arial"/>
        </w:rPr>
      </w:pPr>
      <w:r w:rsidRPr="001F0712">
        <w:rPr>
          <w:rFonts w:ascii="Arial" w:hAnsi="Arial" w:cs="Arial"/>
        </w:rPr>
        <w:t xml:space="preserve">The relationship between the remuneration of </w:t>
      </w:r>
      <w:r w:rsidR="00B16C46">
        <w:rPr>
          <w:rFonts w:ascii="Arial" w:hAnsi="Arial" w:cs="Arial"/>
        </w:rPr>
        <w:t>c</w:t>
      </w:r>
      <w:r w:rsidRPr="001F0712">
        <w:rPr>
          <w:rFonts w:ascii="Arial" w:hAnsi="Arial" w:cs="Arial"/>
        </w:rPr>
        <w:t xml:space="preserve">hief </w:t>
      </w:r>
      <w:r w:rsidR="00B16C46">
        <w:rPr>
          <w:rFonts w:ascii="Arial" w:hAnsi="Arial" w:cs="Arial"/>
        </w:rPr>
        <w:t>o</w:t>
      </w:r>
      <w:r w:rsidRPr="001F0712">
        <w:rPr>
          <w:rFonts w:ascii="Arial" w:hAnsi="Arial" w:cs="Arial"/>
        </w:rPr>
        <w:t>fficers and all other employees</w:t>
      </w:r>
      <w:r w:rsidR="006836AA" w:rsidRPr="001F0712">
        <w:rPr>
          <w:rFonts w:ascii="Arial" w:hAnsi="Arial" w:cs="Arial"/>
        </w:rPr>
        <w:t>.</w:t>
      </w:r>
    </w:p>
    <w:p w14:paraId="3694BE6D" w14:textId="77777777" w:rsidR="003250A6" w:rsidRPr="001F0712" w:rsidRDefault="003250A6" w:rsidP="003250A6">
      <w:pPr>
        <w:autoSpaceDE w:val="0"/>
        <w:autoSpaceDN w:val="0"/>
        <w:adjustRightInd w:val="0"/>
        <w:ind w:left="709" w:right="-483"/>
        <w:rPr>
          <w:rFonts w:ascii="Arial" w:hAnsi="Arial" w:cs="Arial"/>
        </w:rPr>
      </w:pPr>
    </w:p>
    <w:p w14:paraId="035A1EE3" w14:textId="059073BF" w:rsidR="003250A6" w:rsidRPr="001F0712" w:rsidRDefault="003250A6" w:rsidP="006E6B9D">
      <w:pPr>
        <w:numPr>
          <w:ilvl w:val="1"/>
          <w:numId w:val="1"/>
        </w:numPr>
        <w:ind w:left="709" w:right="-483" w:hanging="709"/>
        <w:rPr>
          <w:rFonts w:ascii="Arial" w:hAnsi="Arial" w:cs="Arial"/>
        </w:rPr>
      </w:pPr>
      <w:r w:rsidRPr="001F0712">
        <w:rPr>
          <w:rFonts w:ascii="Arial" w:hAnsi="Arial" w:cs="Arial"/>
        </w:rPr>
        <w:t>The salaries quoted in this policy reflect current NJC Green Book pay rates in place from 1 April 2024. The Authority's current Green Book pay scale is shown at Annex 1. The Green Book pay award to be implemented from 1 April 2025 is unknown at the time of this policy being approved</w:t>
      </w:r>
      <w:r w:rsidR="004E0983">
        <w:rPr>
          <w:rFonts w:ascii="Arial" w:hAnsi="Arial" w:cs="Arial"/>
        </w:rPr>
        <w:t xml:space="preserve"> as it has not yet been agreed nationally</w:t>
      </w:r>
      <w:r w:rsidRPr="001F0712">
        <w:rPr>
          <w:rFonts w:ascii="Arial" w:hAnsi="Arial" w:cs="Arial"/>
        </w:rPr>
        <w:t>. </w:t>
      </w:r>
    </w:p>
    <w:p w14:paraId="479DA22E" w14:textId="77777777" w:rsidR="006836AA" w:rsidRPr="001F0712" w:rsidRDefault="006836AA" w:rsidP="008C64A9">
      <w:pPr>
        <w:autoSpaceDE w:val="0"/>
        <w:autoSpaceDN w:val="0"/>
        <w:adjustRightInd w:val="0"/>
        <w:ind w:left="709" w:right="-483"/>
        <w:rPr>
          <w:rFonts w:ascii="Arial" w:hAnsi="Arial" w:cs="Arial"/>
        </w:rPr>
      </w:pPr>
    </w:p>
    <w:p w14:paraId="05638BD1" w14:textId="31DFEC61" w:rsidR="006836AA" w:rsidRPr="001F0712" w:rsidRDefault="003250A6" w:rsidP="006E6B9D">
      <w:pPr>
        <w:numPr>
          <w:ilvl w:val="1"/>
          <w:numId w:val="1"/>
        </w:numPr>
        <w:ind w:left="709" w:right="-483" w:hanging="709"/>
        <w:rPr>
          <w:rFonts w:ascii="Arial" w:hAnsi="Arial" w:cs="Arial"/>
        </w:rPr>
      </w:pPr>
      <w:r w:rsidRPr="001F0712">
        <w:rPr>
          <w:rFonts w:ascii="Arial" w:hAnsi="Arial" w:cs="Arial"/>
        </w:rPr>
        <w:t>This Pay Policy Statement is approved by the Authority and published annually and w</w:t>
      </w:r>
      <w:r w:rsidR="006836AA" w:rsidRPr="001F0712">
        <w:rPr>
          <w:rFonts w:ascii="Arial" w:hAnsi="Arial" w:cs="Arial"/>
        </w:rPr>
        <w:t>ill be published on the Authority’s website as soon as reasonably practicable after approval.</w:t>
      </w:r>
    </w:p>
    <w:p w14:paraId="60B21DF1" w14:textId="77777777" w:rsidR="003250A6" w:rsidRPr="001F0712" w:rsidRDefault="003250A6" w:rsidP="003250A6">
      <w:pPr>
        <w:autoSpaceDE w:val="0"/>
        <w:autoSpaceDN w:val="0"/>
        <w:adjustRightInd w:val="0"/>
        <w:ind w:right="-483"/>
        <w:rPr>
          <w:rFonts w:ascii="Arial" w:hAnsi="Arial" w:cs="Arial"/>
        </w:rPr>
      </w:pPr>
    </w:p>
    <w:p w14:paraId="5CDB0B30" w14:textId="77777777" w:rsidR="00CD3561" w:rsidRPr="001F0712" w:rsidRDefault="00CD3561" w:rsidP="00CD3561">
      <w:pPr>
        <w:pStyle w:val="ListParagraph"/>
        <w:rPr>
          <w:rFonts w:ascii="Arial" w:hAnsi="Arial" w:cs="Arial"/>
        </w:rPr>
      </w:pPr>
    </w:p>
    <w:p w14:paraId="4517BE60" w14:textId="6657A765" w:rsidR="00CD3561" w:rsidRPr="001F0712" w:rsidRDefault="00CD3561" w:rsidP="00C31FA3">
      <w:pPr>
        <w:pStyle w:val="Heading1"/>
        <w:numPr>
          <w:ilvl w:val="0"/>
          <w:numId w:val="1"/>
        </w:numPr>
        <w:ind w:left="709" w:hanging="709"/>
        <w:rPr>
          <w:rFonts w:cs="Arial"/>
        </w:rPr>
      </w:pPr>
      <w:bookmarkStart w:id="1" w:name="_Toc194319264"/>
      <w:r w:rsidRPr="001F0712">
        <w:rPr>
          <w:rFonts w:cs="Arial"/>
        </w:rPr>
        <w:t>GENERAL PRINCIPLES</w:t>
      </w:r>
      <w:bookmarkEnd w:id="1"/>
    </w:p>
    <w:p w14:paraId="48A89336" w14:textId="39800997" w:rsidR="00CD3561" w:rsidRPr="001F0712" w:rsidRDefault="00CD3561" w:rsidP="006E6B9D">
      <w:pPr>
        <w:numPr>
          <w:ilvl w:val="1"/>
          <w:numId w:val="1"/>
        </w:numPr>
        <w:ind w:left="709" w:right="-483" w:hanging="709"/>
        <w:rPr>
          <w:rFonts w:ascii="Arial" w:hAnsi="Arial" w:cs="Arial"/>
        </w:rPr>
      </w:pPr>
      <w:r w:rsidRPr="001F0712">
        <w:rPr>
          <w:rFonts w:ascii="Arial" w:hAnsi="Arial" w:cs="Arial"/>
        </w:rPr>
        <w:t>The Authority aims to recruits and retain a diverse, skilled workforce from the local community and beyond, and its HR policies are intended to support this ambition.  </w:t>
      </w:r>
    </w:p>
    <w:p w14:paraId="67865997" w14:textId="77777777" w:rsidR="00CD3561" w:rsidRPr="001F0712" w:rsidRDefault="00CD3561" w:rsidP="00CD3561">
      <w:pPr>
        <w:autoSpaceDE w:val="0"/>
        <w:autoSpaceDN w:val="0"/>
        <w:adjustRightInd w:val="0"/>
        <w:ind w:left="709" w:right="-483"/>
        <w:rPr>
          <w:rFonts w:ascii="Arial" w:hAnsi="Arial" w:cs="Arial"/>
        </w:rPr>
      </w:pPr>
    </w:p>
    <w:p w14:paraId="42A7702B" w14:textId="4B8CDF45" w:rsidR="00CD3561" w:rsidRPr="001F0712" w:rsidRDefault="00CD3561" w:rsidP="006E6B9D">
      <w:pPr>
        <w:numPr>
          <w:ilvl w:val="1"/>
          <w:numId w:val="1"/>
        </w:numPr>
        <w:ind w:left="709" w:right="-483" w:hanging="709"/>
        <w:rPr>
          <w:rFonts w:ascii="Arial" w:hAnsi="Arial" w:cs="Arial"/>
        </w:rPr>
      </w:pPr>
      <w:r w:rsidRPr="001F0712">
        <w:rPr>
          <w:rFonts w:ascii="Arial" w:hAnsi="Arial" w:cs="Arial"/>
        </w:rPr>
        <w:t xml:space="preserve">The Authority’s pay and grading structure is centred around the </w:t>
      </w:r>
      <w:r w:rsidR="00E82D9B" w:rsidRPr="00E82D9B">
        <w:rPr>
          <w:rFonts w:ascii="Arial" w:hAnsi="Arial" w:cs="Arial"/>
        </w:rPr>
        <w:t>National Joint Council</w:t>
      </w:r>
      <w:r w:rsidR="00E82D9B">
        <w:rPr>
          <w:rFonts w:ascii="Arial" w:hAnsi="Arial" w:cs="Arial"/>
        </w:rPr>
        <w:t>’s</w:t>
      </w:r>
      <w:r w:rsidR="00E82D9B" w:rsidRPr="00E82D9B">
        <w:rPr>
          <w:rFonts w:ascii="Arial" w:hAnsi="Arial" w:cs="Arial"/>
        </w:rPr>
        <w:t xml:space="preserve"> (NJC</w:t>
      </w:r>
      <w:r w:rsidR="00E82D9B">
        <w:rPr>
          <w:rFonts w:ascii="Arial" w:hAnsi="Arial" w:cs="Arial"/>
        </w:rPr>
        <w:t>’s</w:t>
      </w:r>
      <w:r w:rsidR="00E82D9B" w:rsidRPr="00E82D9B">
        <w:rPr>
          <w:rFonts w:ascii="Arial" w:hAnsi="Arial" w:cs="Arial"/>
        </w:rPr>
        <w:t>)</w:t>
      </w:r>
      <w:r w:rsidR="00E82D9B">
        <w:rPr>
          <w:rFonts w:ascii="Arial" w:hAnsi="Arial" w:cs="Arial"/>
        </w:rPr>
        <w:t xml:space="preserve"> </w:t>
      </w:r>
      <w:r w:rsidRPr="001F0712">
        <w:rPr>
          <w:rFonts w:ascii="Arial" w:hAnsi="Arial" w:cs="Arial"/>
        </w:rPr>
        <w:t xml:space="preserve">Green </w:t>
      </w:r>
      <w:r w:rsidR="00E82D9B">
        <w:rPr>
          <w:rFonts w:ascii="Arial" w:hAnsi="Arial" w:cs="Arial"/>
        </w:rPr>
        <w:t xml:space="preserve">and </w:t>
      </w:r>
      <w:r w:rsidRPr="001F0712">
        <w:rPr>
          <w:rFonts w:ascii="Arial" w:hAnsi="Arial" w:cs="Arial"/>
        </w:rPr>
        <w:t>Grey Book structures</w:t>
      </w:r>
      <w:r w:rsidR="00F62B08">
        <w:rPr>
          <w:rFonts w:ascii="Arial" w:hAnsi="Arial" w:cs="Arial"/>
        </w:rPr>
        <w:t>; the details</w:t>
      </w:r>
      <w:r w:rsidR="00DA44CB">
        <w:rPr>
          <w:rFonts w:ascii="Arial" w:hAnsi="Arial" w:cs="Arial"/>
        </w:rPr>
        <w:t xml:space="preserve"> are</w:t>
      </w:r>
      <w:r w:rsidR="00616844" w:rsidRPr="001F0712">
        <w:rPr>
          <w:rFonts w:ascii="Arial" w:hAnsi="Arial" w:cs="Arial"/>
        </w:rPr>
        <w:t xml:space="preserve"> set out in </w:t>
      </w:r>
      <w:r w:rsidR="00DA44CB">
        <w:rPr>
          <w:rFonts w:ascii="Arial" w:hAnsi="Arial" w:cs="Arial"/>
        </w:rPr>
        <w:t>Annexes 1 and 2</w:t>
      </w:r>
      <w:r w:rsidRPr="001F0712">
        <w:rPr>
          <w:rFonts w:ascii="Arial" w:hAnsi="Arial" w:cs="Arial"/>
        </w:rPr>
        <w:t>.</w:t>
      </w:r>
      <w:r w:rsidR="003F7068">
        <w:rPr>
          <w:rFonts w:ascii="Arial" w:hAnsi="Arial" w:cs="Arial"/>
        </w:rPr>
        <w:t xml:space="preserve"> Apprentices are set out at Annex 3 and chief officers at Annex 4.</w:t>
      </w:r>
      <w:r w:rsidRPr="001F0712">
        <w:rPr>
          <w:rFonts w:ascii="Arial" w:hAnsi="Arial" w:cs="Arial"/>
        </w:rPr>
        <w:t xml:space="preserve"> </w:t>
      </w:r>
    </w:p>
    <w:p w14:paraId="573D5C16" w14:textId="77777777" w:rsidR="00CD3561" w:rsidRPr="001F0712" w:rsidRDefault="00CD3561" w:rsidP="00A91358">
      <w:pPr>
        <w:autoSpaceDE w:val="0"/>
        <w:autoSpaceDN w:val="0"/>
        <w:adjustRightInd w:val="0"/>
        <w:ind w:right="-483"/>
        <w:rPr>
          <w:rFonts w:ascii="Arial" w:hAnsi="Arial" w:cs="Arial"/>
        </w:rPr>
      </w:pPr>
    </w:p>
    <w:p w14:paraId="2189FCA2" w14:textId="6310E55F" w:rsidR="00CD3561" w:rsidRPr="001F0712" w:rsidRDefault="00CD3561" w:rsidP="006E6B9D">
      <w:pPr>
        <w:numPr>
          <w:ilvl w:val="1"/>
          <w:numId w:val="1"/>
        </w:numPr>
        <w:ind w:left="709" w:right="-483" w:hanging="709"/>
        <w:rPr>
          <w:rFonts w:ascii="Arial" w:hAnsi="Arial" w:cs="Arial"/>
        </w:rPr>
      </w:pPr>
      <w:r w:rsidRPr="001F0712">
        <w:rPr>
          <w:rFonts w:ascii="Arial" w:hAnsi="Arial" w:cs="Arial"/>
        </w:rPr>
        <w:lastRenderedPageBreak/>
        <w:t xml:space="preserve">The Authority's pay structures allow incremental advancement for all employees </w:t>
      </w:r>
      <w:proofErr w:type="gramStart"/>
      <w:r w:rsidRPr="001F0712">
        <w:rPr>
          <w:rFonts w:ascii="Arial" w:hAnsi="Arial" w:cs="Arial"/>
        </w:rPr>
        <w:t>with the exception of</w:t>
      </w:r>
      <w:proofErr w:type="gramEnd"/>
      <w:r w:rsidRPr="001F0712">
        <w:rPr>
          <w:rFonts w:ascii="Arial" w:hAnsi="Arial" w:cs="Arial"/>
        </w:rPr>
        <w:t xml:space="preserve"> </w:t>
      </w:r>
      <w:r w:rsidR="00C73887">
        <w:rPr>
          <w:rFonts w:ascii="Arial" w:hAnsi="Arial" w:cs="Arial"/>
        </w:rPr>
        <w:t>P</w:t>
      </w:r>
      <w:r w:rsidRPr="001F0712">
        <w:rPr>
          <w:rFonts w:ascii="Arial" w:hAnsi="Arial" w:cs="Arial"/>
        </w:rPr>
        <w:t xml:space="preserve">rincipal </w:t>
      </w:r>
      <w:r w:rsidR="00C73887">
        <w:rPr>
          <w:rFonts w:ascii="Arial" w:hAnsi="Arial" w:cs="Arial"/>
        </w:rPr>
        <w:t>O</w:t>
      </w:r>
      <w:r w:rsidRPr="001F0712">
        <w:rPr>
          <w:rFonts w:ascii="Arial" w:hAnsi="Arial" w:cs="Arial"/>
        </w:rPr>
        <w:t>fficer</w:t>
      </w:r>
      <w:r w:rsidR="006F1C3F">
        <w:rPr>
          <w:rFonts w:ascii="Arial" w:hAnsi="Arial" w:cs="Arial"/>
        </w:rPr>
        <w:t>s</w:t>
      </w:r>
      <w:r w:rsidR="00C73887">
        <w:rPr>
          <w:rFonts w:ascii="Arial" w:hAnsi="Arial" w:cs="Arial"/>
        </w:rPr>
        <w:t xml:space="preserve"> (</w:t>
      </w:r>
      <w:r w:rsidR="00E63AF1">
        <w:rPr>
          <w:rFonts w:ascii="Arial" w:hAnsi="Arial" w:cs="Arial"/>
        </w:rPr>
        <w:t xml:space="preserve">i.e. </w:t>
      </w:r>
      <w:r w:rsidR="00C73887">
        <w:rPr>
          <w:rFonts w:ascii="Arial" w:hAnsi="Arial" w:cs="Arial"/>
        </w:rPr>
        <w:t>Gold Book employees – see Annex</w:t>
      </w:r>
      <w:r w:rsidR="00E63AF1">
        <w:rPr>
          <w:rFonts w:ascii="Arial" w:hAnsi="Arial" w:cs="Arial"/>
        </w:rPr>
        <w:t xml:space="preserve"> </w:t>
      </w:r>
      <w:r w:rsidR="00C73887">
        <w:rPr>
          <w:rFonts w:ascii="Arial" w:hAnsi="Arial" w:cs="Arial"/>
        </w:rPr>
        <w:t>4</w:t>
      </w:r>
      <w:r w:rsidR="00A14128">
        <w:rPr>
          <w:rFonts w:ascii="Arial" w:hAnsi="Arial" w:cs="Arial"/>
        </w:rPr>
        <w:t xml:space="preserve"> for details</w:t>
      </w:r>
      <w:r w:rsidR="00C73887">
        <w:rPr>
          <w:rFonts w:ascii="Arial" w:hAnsi="Arial" w:cs="Arial"/>
        </w:rPr>
        <w:t>)</w:t>
      </w:r>
      <w:r w:rsidRPr="001F0712">
        <w:rPr>
          <w:rFonts w:ascii="Arial" w:hAnsi="Arial" w:cs="Arial"/>
        </w:rPr>
        <w:t>. For all other employees, increments are paid on 1 April each year until they reach the top of their grade, subject to the following</w:t>
      </w:r>
      <w:r w:rsidR="00A761D8" w:rsidRPr="001F0712">
        <w:rPr>
          <w:rFonts w:ascii="Arial" w:hAnsi="Arial" w:cs="Arial"/>
        </w:rPr>
        <w:t>:</w:t>
      </w:r>
      <w:r w:rsidRPr="001F0712">
        <w:rPr>
          <w:rFonts w:ascii="Arial" w:hAnsi="Arial" w:cs="Arial"/>
        </w:rPr>
        <w:t> </w:t>
      </w:r>
    </w:p>
    <w:p w14:paraId="263E111A" w14:textId="77777777" w:rsidR="00A761D8" w:rsidRPr="001F0712" w:rsidRDefault="00A761D8" w:rsidP="00A761D8">
      <w:pPr>
        <w:autoSpaceDE w:val="0"/>
        <w:autoSpaceDN w:val="0"/>
        <w:adjustRightInd w:val="0"/>
        <w:ind w:left="709" w:right="-483"/>
        <w:rPr>
          <w:rFonts w:ascii="Arial" w:hAnsi="Arial" w:cs="Arial"/>
          <w:sz w:val="14"/>
          <w:szCs w:val="14"/>
        </w:rPr>
      </w:pPr>
    </w:p>
    <w:p w14:paraId="6945BC11" w14:textId="7A4AEC79" w:rsidR="00A761D8" w:rsidRDefault="00A761D8" w:rsidP="006E6B9D">
      <w:pPr>
        <w:pStyle w:val="ListParagraph"/>
        <w:numPr>
          <w:ilvl w:val="0"/>
          <w:numId w:val="18"/>
        </w:numPr>
        <w:ind w:right="-483"/>
        <w:rPr>
          <w:rFonts w:ascii="Arial" w:hAnsi="Arial" w:cs="Arial"/>
          <w:color w:val="000000"/>
        </w:rPr>
      </w:pPr>
      <w:r w:rsidRPr="006E6B9D">
        <w:rPr>
          <w:rFonts w:ascii="Arial" w:hAnsi="Arial" w:cs="Arial"/>
        </w:rPr>
        <w:t>New</w:t>
      </w:r>
      <w:r w:rsidRPr="001F0712">
        <w:rPr>
          <w:rFonts w:ascii="Arial" w:hAnsi="Arial" w:cs="Arial"/>
          <w:color w:val="000000"/>
        </w:rPr>
        <w:t xml:space="preserve"> appointments </w:t>
      </w:r>
      <w:r w:rsidR="00A91358" w:rsidRPr="001F0712">
        <w:rPr>
          <w:rFonts w:ascii="Arial" w:hAnsi="Arial" w:cs="Arial"/>
          <w:color w:val="000000"/>
        </w:rPr>
        <w:t xml:space="preserve">should </w:t>
      </w:r>
      <w:r w:rsidRPr="001F0712">
        <w:rPr>
          <w:rFonts w:ascii="Arial" w:hAnsi="Arial" w:cs="Arial"/>
          <w:color w:val="000000"/>
        </w:rPr>
        <w:t xml:space="preserve">be made at the bottom spinal column point </w:t>
      </w:r>
      <w:r w:rsidR="00A91358" w:rsidRPr="001F0712">
        <w:rPr>
          <w:rFonts w:ascii="Arial" w:hAnsi="Arial" w:cs="Arial"/>
          <w:color w:val="000000"/>
        </w:rPr>
        <w:t xml:space="preserve">(SCP) </w:t>
      </w:r>
      <w:r w:rsidRPr="001F0712">
        <w:rPr>
          <w:rFonts w:ascii="Arial" w:hAnsi="Arial" w:cs="Arial"/>
          <w:color w:val="000000"/>
        </w:rPr>
        <w:t xml:space="preserve">of </w:t>
      </w:r>
      <w:r w:rsidR="00A91358" w:rsidRPr="001F0712">
        <w:rPr>
          <w:rFonts w:ascii="Arial" w:hAnsi="Arial" w:cs="Arial"/>
          <w:color w:val="000000"/>
        </w:rPr>
        <w:t>the relevant</w:t>
      </w:r>
      <w:r w:rsidRPr="001F0712">
        <w:rPr>
          <w:rFonts w:ascii="Arial" w:hAnsi="Arial" w:cs="Arial"/>
          <w:color w:val="000000"/>
        </w:rPr>
        <w:t xml:space="preserve"> pay band unless there are special circumstances justify</w:t>
      </w:r>
      <w:r w:rsidR="00A91358" w:rsidRPr="001F0712">
        <w:rPr>
          <w:rFonts w:ascii="Arial" w:hAnsi="Arial" w:cs="Arial"/>
          <w:color w:val="000000"/>
        </w:rPr>
        <w:t>ing</w:t>
      </w:r>
      <w:r w:rsidRPr="001F0712">
        <w:rPr>
          <w:rFonts w:ascii="Arial" w:hAnsi="Arial" w:cs="Arial"/>
          <w:color w:val="000000"/>
        </w:rPr>
        <w:t xml:space="preserve"> </w:t>
      </w:r>
      <w:r w:rsidR="00A91358" w:rsidRPr="001F0712">
        <w:rPr>
          <w:rFonts w:ascii="Arial" w:hAnsi="Arial" w:cs="Arial"/>
          <w:color w:val="000000"/>
        </w:rPr>
        <w:t>the employee starting at a higher SCP - to be agreed with the Director of People and Culture;</w:t>
      </w:r>
      <w:r w:rsidRPr="001F0712">
        <w:rPr>
          <w:rFonts w:ascii="Arial" w:hAnsi="Arial" w:cs="Arial"/>
          <w:color w:val="000000"/>
        </w:rPr>
        <w:t> </w:t>
      </w:r>
      <w:r w:rsidR="001B5ED2">
        <w:rPr>
          <w:rFonts w:ascii="Arial" w:hAnsi="Arial" w:cs="Arial"/>
          <w:color w:val="000000"/>
        </w:rPr>
        <w:t>and</w:t>
      </w:r>
    </w:p>
    <w:p w14:paraId="1CC456B4" w14:textId="77777777" w:rsidR="00E63AF1" w:rsidRPr="00E63AF1" w:rsidRDefault="00E63AF1" w:rsidP="00E63AF1">
      <w:pPr>
        <w:pStyle w:val="NormalWeb"/>
        <w:spacing w:before="0" w:beforeAutospacing="0" w:after="0" w:afterAutospacing="0"/>
        <w:ind w:left="1134"/>
        <w:textAlignment w:val="baseline"/>
        <w:rPr>
          <w:rFonts w:ascii="Arial" w:hAnsi="Arial" w:cs="Arial"/>
          <w:color w:val="000000"/>
          <w:sz w:val="14"/>
          <w:szCs w:val="14"/>
        </w:rPr>
      </w:pPr>
    </w:p>
    <w:p w14:paraId="789E55CD" w14:textId="100B5A8C" w:rsidR="00A91358" w:rsidRPr="001F0712" w:rsidRDefault="00A91358" w:rsidP="006E6B9D">
      <w:pPr>
        <w:pStyle w:val="ListParagraph"/>
        <w:numPr>
          <w:ilvl w:val="0"/>
          <w:numId w:val="18"/>
        </w:numPr>
        <w:ind w:right="-483"/>
        <w:rPr>
          <w:rFonts w:ascii="Arial" w:hAnsi="Arial" w:cs="Arial"/>
          <w:color w:val="000000"/>
        </w:rPr>
      </w:pPr>
      <w:r w:rsidRPr="006E6B9D">
        <w:rPr>
          <w:rFonts w:ascii="Arial" w:hAnsi="Arial" w:cs="Arial"/>
        </w:rPr>
        <w:t>Employees</w:t>
      </w:r>
      <w:r w:rsidRPr="001F0712">
        <w:rPr>
          <w:rFonts w:ascii="Arial" w:hAnsi="Arial" w:cs="Arial"/>
          <w:color w:val="000000"/>
        </w:rPr>
        <w:t xml:space="preserve"> with less than six months' service in the relevant grade as at 1 April are granted their first increment six months after their appointment, promotion or re-grading: except where their salary on the 1 April would be less than one SCP in excess of the salary they would have received on that day had they remained on their previous grade, when they will be entitled to their increment on 1 April. </w:t>
      </w:r>
    </w:p>
    <w:p w14:paraId="54D4A9AC" w14:textId="77777777" w:rsidR="006D2180" w:rsidRPr="001F0712" w:rsidRDefault="006D2180" w:rsidP="006D2180">
      <w:pPr>
        <w:autoSpaceDE w:val="0"/>
        <w:autoSpaceDN w:val="0"/>
        <w:adjustRightInd w:val="0"/>
        <w:ind w:right="-483"/>
        <w:rPr>
          <w:rFonts w:ascii="Arial" w:hAnsi="Arial" w:cs="Arial"/>
        </w:rPr>
      </w:pPr>
    </w:p>
    <w:p w14:paraId="05484C63" w14:textId="77777777" w:rsidR="003250A6" w:rsidRPr="001F0712" w:rsidRDefault="003250A6" w:rsidP="006D2180">
      <w:pPr>
        <w:autoSpaceDE w:val="0"/>
        <w:autoSpaceDN w:val="0"/>
        <w:adjustRightInd w:val="0"/>
        <w:ind w:right="-483"/>
        <w:rPr>
          <w:rFonts w:ascii="Arial" w:hAnsi="Arial" w:cs="Arial"/>
        </w:rPr>
      </w:pPr>
    </w:p>
    <w:p w14:paraId="4660FD6C" w14:textId="68505546" w:rsidR="006D2180" w:rsidRPr="001F0712" w:rsidRDefault="006D2180" w:rsidP="00C31FA3">
      <w:pPr>
        <w:pStyle w:val="Heading1"/>
        <w:numPr>
          <w:ilvl w:val="0"/>
          <w:numId w:val="1"/>
        </w:numPr>
        <w:ind w:left="709" w:hanging="709"/>
        <w:rPr>
          <w:rFonts w:cs="Arial"/>
        </w:rPr>
      </w:pPr>
      <w:bookmarkStart w:id="2" w:name="_Toc194319265"/>
      <w:r w:rsidRPr="001F0712">
        <w:rPr>
          <w:rFonts w:cs="Arial"/>
        </w:rPr>
        <w:t>LOWEST-PAID EMPLOYEES</w:t>
      </w:r>
      <w:bookmarkEnd w:id="2"/>
    </w:p>
    <w:p w14:paraId="3D652C4B" w14:textId="77777777" w:rsidR="00897369" w:rsidRPr="001F0712" w:rsidRDefault="00897369" w:rsidP="00897369">
      <w:pPr>
        <w:rPr>
          <w:rFonts w:ascii="Arial" w:hAnsi="Arial" w:cs="Arial"/>
        </w:rPr>
      </w:pPr>
    </w:p>
    <w:p w14:paraId="5F7F73A8" w14:textId="01BFFD4D" w:rsidR="00897369" w:rsidRPr="001F0712" w:rsidRDefault="00897369" w:rsidP="00897369">
      <w:pPr>
        <w:pStyle w:val="Heading2"/>
        <w:numPr>
          <w:ilvl w:val="0"/>
          <w:numId w:val="0"/>
        </w:numPr>
        <w:ind w:left="709"/>
        <w:rPr>
          <w:rFonts w:cs="Arial"/>
        </w:rPr>
      </w:pPr>
      <w:bookmarkStart w:id="3" w:name="_Toc194319266"/>
      <w:r w:rsidRPr="001F0712">
        <w:rPr>
          <w:rFonts w:cs="Arial"/>
        </w:rPr>
        <w:t>Definitions</w:t>
      </w:r>
      <w:bookmarkEnd w:id="3"/>
    </w:p>
    <w:p w14:paraId="70D7B366" w14:textId="138881FF" w:rsidR="006836AA" w:rsidRPr="001F0712" w:rsidRDefault="001D2072" w:rsidP="006E6B9D">
      <w:pPr>
        <w:numPr>
          <w:ilvl w:val="1"/>
          <w:numId w:val="1"/>
        </w:numPr>
        <w:ind w:left="709" w:right="-483" w:hanging="709"/>
        <w:rPr>
          <w:rFonts w:ascii="Arial" w:hAnsi="Arial" w:cs="Arial"/>
        </w:rPr>
      </w:pPr>
      <w:r w:rsidRPr="001F0712">
        <w:rPr>
          <w:rFonts w:ascii="Arial" w:hAnsi="Arial" w:cs="Arial"/>
        </w:rPr>
        <w:t xml:space="preserve">The definition of </w:t>
      </w:r>
      <w:r w:rsidRPr="001F0712">
        <w:rPr>
          <w:rFonts w:ascii="Arial" w:hAnsi="Arial" w:cs="Arial"/>
          <w:i/>
          <w:iCs/>
        </w:rPr>
        <w:t>lowest paid employees</w:t>
      </w:r>
      <w:r w:rsidRPr="001F0712">
        <w:rPr>
          <w:rFonts w:ascii="Arial" w:hAnsi="Arial" w:cs="Arial"/>
        </w:rPr>
        <w:t xml:space="preserve"> is those full-time employees being paid at scale 1 at spinal column point 2</w:t>
      </w:r>
      <w:r w:rsidR="00036332" w:rsidRPr="001F0712">
        <w:rPr>
          <w:rFonts w:ascii="Arial" w:hAnsi="Arial" w:cs="Arial"/>
        </w:rPr>
        <w:t>, as set out in Annex 2</w:t>
      </w:r>
      <w:r w:rsidRPr="001F0712">
        <w:rPr>
          <w:rFonts w:ascii="Arial" w:hAnsi="Arial" w:cs="Arial"/>
        </w:rPr>
        <w:t>.  </w:t>
      </w:r>
    </w:p>
    <w:p w14:paraId="0B958E96" w14:textId="77777777" w:rsidR="006D2180" w:rsidRPr="001F0712" w:rsidRDefault="006D2180" w:rsidP="008C64A9">
      <w:pPr>
        <w:autoSpaceDE w:val="0"/>
        <w:autoSpaceDN w:val="0"/>
        <w:adjustRightInd w:val="0"/>
        <w:ind w:right="-483"/>
        <w:rPr>
          <w:rFonts w:ascii="Arial" w:hAnsi="Arial" w:cs="Arial"/>
        </w:rPr>
      </w:pPr>
    </w:p>
    <w:p w14:paraId="6D7079B4" w14:textId="79980484" w:rsidR="0045777E" w:rsidRPr="001F0712" w:rsidRDefault="0045777E" w:rsidP="0045777E">
      <w:pPr>
        <w:pStyle w:val="Heading2"/>
        <w:numPr>
          <w:ilvl w:val="0"/>
          <w:numId w:val="0"/>
        </w:numPr>
        <w:ind w:left="709"/>
        <w:rPr>
          <w:rFonts w:cs="Arial"/>
        </w:rPr>
      </w:pPr>
      <w:bookmarkStart w:id="4" w:name="_Toc194319267"/>
      <w:r w:rsidRPr="001F0712">
        <w:rPr>
          <w:rFonts w:cs="Arial"/>
        </w:rPr>
        <w:t>Pay</w:t>
      </w:r>
      <w:bookmarkEnd w:id="4"/>
    </w:p>
    <w:p w14:paraId="267C1527" w14:textId="47191C54" w:rsidR="006D2180" w:rsidRPr="001F0712" w:rsidRDefault="001D2072" w:rsidP="006E6B9D">
      <w:pPr>
        <w:numPr>
          <w:ilvl w:val="1"/>
          <w:numId w:val="1"/>
        </w:numPr>
        <w:ind w:left="709" w:right="-483" w:hanging="709"/>
        <w:rPr>
          <w:rFonts w:ascii="Arial" w:hAnsi="Arial" w:cs="Arial"/>
        </w:rPr>
      </w:pPr>
      <w:r w:rsidRPr="001F0712">
        <w:rPr>
          <w:rFonts w:ascii="Arial" w:hAnsi="Arial" w:cs="Arial"/>
        </w:rPr>
        <w:t xml:space="preserve">Scale 1, spinal column </w:t>
      </w:r>
      <w:proofErr w:type="gramStart"/>
      <w:r w:rsidRPr="001F0712">
        <w:rPr>
          <w:rFonts w:ascii="Arial" w:hAnsi="Arial" w:cs="Arial"/>
        </w:rPr>
        <w:t>point</w:t>
      </w:r>
      <w:proofErr w:type="gramEnd"/>
      <w:r w:rsidRPr="001F0712">
        <w:rPr>
          <w:rFonts w:ascii="Arial" w:hAnsi="Arial" w:cs="Arial"/>
        </w:rPr>
        <w:t xml:space="preserve"> 2 is currently £23,656 per annum from 1 April 2024 (pay award for 1 April 2025 pending), or £12.26 per hour. Sc1 extends to spinal column point 3 (£24,027 per annum or £12.45 per hour).</w:t>
      </w:r>
    </w:p>
    <w:p w14:paraId="565448AD" w14:textId="77777777" w:rsidR="001D2072" w:rsidRPr="001F0712" w:rsidRDefault="001D2072" w:rsidP="001D2072">
      <w:pPr>
        <w:pStyle w:val="ListParagraph"/>
        <w:rPr>
          <w:rFonts w:ascii="Arial" w:hAnsi="Arial" w:cs="Arial"/>
        </w:rPr>
      </w:pPr>
    </w:p>
    <w:p w14:paraId="785E579E" w14:textId="14A22018" w:rsidR="001D2072" w:rsidRPr="001F0712" w:rsidRDefault="001D2072" w:rsidP="006E6B9D">
      <w:pPr>
        <w:numPr>
          <w:ilvl w:val="1"/>
          <w:numId w:val="1"/>
        </w:numPr>
        <w:ind w:left="709" w:right="-483" w:hanging="709"/>
        <w:rPr>
          <w:rFonts w:ascii="Arial" w:hAnsi="Arial" w:cs="Arial"/>
        </w:rPr>
      </w:pPr>
      <w:r w:rsidRPr="001F0712">
        <w:rPr>
          <w:rFonts w:ascii="Arial" w:hAnsi="Arial" w:cs="Arial"/>
        </w:rPr>
        <w:t xml:space="preserve">The National Living Wage from 1 April 2024 is </w:t>
      </w:r>
      <w:r w:rsidR="00616844" w:rsidRPr="001F0712">
        <w:rPr>
          <w:rFonts w:ascii="Arial" w:hAnsi="Arial" w:cs="Arial"/>
        </w:rPr>
        <w:t>£11.44 and</w:t>
      </w:r>
      <w:r w:rsidRPr="001F0712">
        <w:rPr>
          <w:rFonts w:ascii="Arial" w:hAnsi="Arial" w:cs="Arial"/>
        </w:rPr>
        <w:t xml:space="preserve"> is set to increase to £12.21 from 1 April 2025.</w:t>
      </w:r>
      <w:r w:rsidR="003C33DD" w:rsidRPr="001F0712">
        <w:rPr>
          <w:rFonts w:ascii="Arial" w:hAnsi="Arial" w:cs="Arial"/>
        </w:rPr>
        <w:t xml:space="preserve"> All staff, including any apprentices, will be paid at least </w:t>
      </w:r>
      <w:r w:rsidR="00CB689E" w:rsidRPr="001F0712">
        <w:rPr>
          <w:rFonts w:ascii="Arial" w:hAnsi="Arial" w:cs="Arial"/>
        </w:rPr>
        <w:t>this amount per hour.</w:t>
      </w:r>
    </w:p>
    <w:p w14:paraId="31AD8DE1" w14:textId="77777777" w:rsidR="006D2180" w:rsidRPr="001F0712" w:rsidRDefault="006D2180" w:rsidP="008C64A9">
      <w:pPr>
        <w:autoSpaceDE w:val="0"/>
        <w:autoSpaceDN w:val="0"/>
        <w:adjustRightInd w:val="0"/>
        <w:ind w:right="-483"/>
        <w:rPr>
          <w:rFonts w:ascii="Arial" w:hAnsi="Arial" w:cs="Arial"/>
        </w:rPr>
      </w:pPr>
    </w:p>
    <w:p w14:paraId="434BBD9F" w14:textId="77777777" w:rsidR="003250A6" w:rsidRPr="001F0712" w:rsidRDefault="003250A6" w:rsidP="008C64A9">
      <w:pPr>
        <w:autoSpaceDE w:val="0"/>
        <w:autoSpaceDN w:val="0"/>
        <w:adjustRightInd w:val="0"/>
        <w:ind w:right="-483"/>
        <w:rPr>
          <w:rFonts w:ascii="Arial" w:hAnsi="Arial" w:cs="Arial"/>
        </w:rPr>
      </w:pPr>
    </w:p>
    <w:p w14:paraId="1E94531B" w14:textId="6CE45616" w:rsidR="006836AA" w:rsidRPr="001F0712" w:rsidRDefault="006836AA" w:rsidP="00C31FA3">
      <w:pPr>
        <w:pStyle w:val="Heading1"/>
        <w:numPr>
          <w:ilvl w:val="0"/>
          <w:numId w:val="1"/>
        </w:numPr>
        <w:ind w:left="709" w:hanging="709"/>
        <w:rPr>
          <w:rFonts w:cs="Arial"/>
        </w:rPr>
      </w:pPr>
      <w:bookmarkStart w:id="5" w:name="_Toc194319268"/>
      <w:r w:rsidRPr="001F0712">
        <w:rPr>
          <w:rFonts w:cs="Arial"/>
        </w:rPr>
        <w:t>CHIEF OFFICERS</w:t>
      </w:r>
      <w:bookmarkEnd w:id="5"/>
    </w:p>
    <w:p w14:paraId="0C82080E" w14:textId="77777777" w:rsidR="006836AA" w:rsidRPr="001F0712" w:rsidRDefault="006836AA" w:rsidP="008C64A9">
      <w:pPr>
        <w:autoSpaceDE w:val="0"/>
        <w:autoSpaceDN w:val="0"/>
        <w:adjustRightInd w:val="0"/>
        <w:ind w:right="-483"/>
        <w:rPr>
          <w:rFonts w:ascii="Arial" w:hAnsi="Arial" w:cs="Arial"/>
          <w:sz w:val="14"/>
          <w:szCs w:val="14"/>
        </w:rPr>
      </w:pPr>
    </w:p>
    <w:p w14:paraId="0728A3ED" w14:textId="39A6CF29" w:rsidR="00625BAA" w:rsidRPr="001F0712" w:rsidRDefault="006836AA" w:rsidP="00C31FA3">
      <w:pPr>
        <w:pStyle w:val="Heading2"/>
        <w:numPr>
          <w:ilvl w:val="0"/>
          <w:numId w:val="0"/>
        </w:numPr>
        <w:ind w:left="709"/>
        <w:rPr>
          <w:rFonts w:cs="Arial"/>
        </w:rPr>
      </w:pPr>
      <w:bookmarkStart w:id="6" w:name="_Toc194319269"/>
      <w:r w:rsidRPr="001F0712">
        <w:rPr>
          <w:rFonts w:cs="Arial"/>
        </w:rPr>
        <w:t>Definition</w:t>
      </w:r>
      <w:r w:rsidR="008C64A9" w:rsidRPr="001F0712">
        <w:rPr>
          <w:rFonts w:cs="Arial"/>
        </w:rPr>
        <w:t>s</w:t>
      </w:r>
      <w:bookmarkEnd w:id="6"/>
    </w:p>
    <w:p w14:paraId="27CCE180" w14:textId="38950BA6" w:rsidR="006836AA" w:rsidRPr="001F0712" w:rsidRDefault="006836AA" w:rsidP="006E6B9D">
      <w:pPr>
        <w:numPr>
          <w:ilvl w:val="1"/>
          <w:numId w:val="1"/>
        </w:numPr>
        <w:ind w:left="709" w:right="-483" w:hanging="709"/>
        <w:rPr>
          <w:rFonts w:ascii="Arial" w:hAnsi="Arial" w:cs="Arial"/>
        </w:rPr>
      </w:pPr>
      <w:r w:rsidRPr="001F0712">
        <w:rPr>
          <w:rFonts w:ascii="Arial" w:hAnsi="Arial" w:cs="Arial"/>
        </w:rPr>
        <w:t>The strict definition</w:t>
      </w:r>
      <w:r w:rsidR="005D20C0" w:rsidRPr="001F0712">
        <w:rPr>
          <w:rFonts w:ascii="Arial" w:hAnsi="Arial" w:cs="Arial"/>
        </w:rPr>
        <w:t>s</w:t>
      </w:r>
      <w:r w:rsidRPr="001F0712">
        <w:rPr>
          <w:rFonts w:ascii="Arial" w:hAnsi="Arial" w:cs="Arial"/>
        </w:rPr>
        <w:t xml:space="preserve"> of </w:t>
      </w:r>
      <w:r w:rsidR="00C005C6" w:rsidRPr="001F0712">
        <w:rPr>
          <w:rFonts w:ascii="Arial" w:hAnsi="Arial" w:cs="Arial"/>
        </w:rPr>
        <w:t xml:space="preserve">chief officers as set out in </w:t>
      </w:r>
      <w:r w:rsidRPr="001F0712">
        <w:rPr>
          <w:rFonts w:ascii="Arial" w:hAnsi="Arial" w:cs="Arial"/>
        </w:rPr>
        <w:t xml:space="preserve">the </w:t>
      </w:r>
      <w:r w:rsidR="005D20C0" w:rsidRPr="001F0712">
        <w:rPr>
          <w:rFonts w:ascii="Arial" w:hAnsi="Arial" w:cs="Arial"/>
        </w:rPr>
        <w:t>Local Government and Housing Act 1989 are as follows</w:t>
      </w:r>
      <w:r w:rsidRPr="001F0712">
        <w:rPr>
          <w:rFonts w:ascii="Arial" w:hAnsi="Arial" w:cs="Arial"/>
        </w:rPr>
        <w:t>:</w:t>
      </w:r>
    </w:p>
    <w:p w14:paraId="79F3A5A4" w14:textId="77777777" w:rsidR="006836AA" w:rsidRPr="001F0712" w:rsidRDefault="006836AA" w:rsidP="008C64A9">
      <w:pPr>
        <w:autoSpaceDE w:val="0"/>
        <w:autoSpaceDN w:val="0"/>
        <w:adjustRightInd w:val="0"/>
        <w:ind w:right="-483"/>
        <w:rPr>
          <w:rFonts w:ascii="Arial" w:hAnsi="Arial" w:cs="Arial"/>
          <w:sz w:val="10"/>
          <w:szCs w:val="10"/>
        </w:rPr>
      </w:pPr>
    </w:p>
    <w:p w14:paraId="477BC182" w14:textId="602F832B" w:rsidR="006836AA" w:rsidRPr="001F0712" w:rsidRDefault="005D20C0" w:rsidP="006E6B9D">
      <w:pPr>
        <w:pStyle w:val="ListParagraph"/>
        <w:numPr>
          <w:ilvl w:val="0"/>
          <w:numId w:val="18"/>
        </w:numPr>
        <w:ind w:right="-483"/>
        <w:rPr>
          <w:rFonts w:ascii="Arial" w:hAnsi="Arial" w:cs="Arial"/>
        </w:rPr>
      </w:pPr>
      <w:r w:rsidRPr="001F0712">
        <w:rPr>
          <w:rFonts w:ascii="Arial" w:hAnsi="Arial" w:cs="Arial"/>
        </w:rPr>
        <w:t xml:space="preserve">The </w:t>
      </w:r>
      <w:r w:rsidRPr="00BF3AE8">
        <w:rPr>
          <w:rFonts w:ascii="Arial" w:hAnsi="Arial" w:cs="Arial"/>
          <w:i/>
          <w:iCs/>
          <w:color w:val="215E99" w:themeColor="text2" w:themeTint="BF"/>
        </w:rPr>
        <w:t>head of paid service</w:t>
      </w:r>
      <w:r w:rsidRPr="00BF3AE8">
        <w:rPr>
          <w:rFonts w:ascii="Arial" w:hAnsi="Arial" w:cs="Arial"/>
          <w:color w:val="215E99" w:themeColor="text2" w:themeTint="BF"/>
        </w:rPr>
        <w:t xml:space="preserve"> </w:t>
      </w:r>
      <w:r w:rsidRPr="001F0712">
        <w:rPr>
          <w:rFonts w:ascii="Arial" w:hAnsi="Arial" w:cs="Arial"/>
        </w:rPr>
        <w:t xml:space="preserve">designated </w:t>
      </w:r>
      <w:r w:rsidR="006836AA" w:rsidRPr="001F0712">
        <w:rPr>
          <w:rFonts w:ascii="Arial" w:hAnsi="Arial" w:cs="Arial"/>
        </w:rPr>
        <w:t xml:space="preserve">under section </w:t>
      </w:r>
      <w:proofErr w:type="gramStart"/>
      <w:r w:rsidR="006836AA" w:rsidRPr="001F0712">
        <w:rPr>
          <w:rFonts w:ascii="Arial" w:hAnsi="Arial" w:cs="Arial"/>
        </w:rPr>
        <w:t>4(1);</w:t>
      </w:r>
      <w:proofErr w:type="gramEnd"/>
    </w:p>
    <w:p w14:paraId="71BB6866" w14:textId="19C7F26C" w:rsidR="006836AA" w:rsidRPr="001F0712" w:rsidRDefault="006836AA" w:rsidP="006E6B9D">
      <w:pPr>
        <w:pStyle w:val="ListParagraph"/>
        <w:numPr>
          <w:ilvl w:val="0"/>
          <w:numId w:val="18"/>
        </w:numPr>
        <w:ind w:right="-483"/>
        <w:rPr>
          <w:rFonts w:ascii="Arial" w:hAnsi="Arial" w:cs="Arial"/>
        </w:rPr>
      </w:pPr>
      <w:r w:rsidRPr="001F0712">
        <w:rPr>
          <w:rFonts w:ascii="Arial" w:hAnsi="Arial" w:cs="Arial"/>
        </w:rPr>
        <w:t xml:space="preserve">The </w:t>
      </w:r>
      <w:r w:rsidR="005D20C0" w:rsidRPr="00BF3AE8">
        <w:rPr>
          <w:rFonts w:ascii="Arial" w:hAnsi="Arial" w:cs="Arial"/>
          <w:i/>
          <w:iCs/>
          <w:color w:val="215E99" w:themeColor="text2" w:themeTint="BF"/>
        </w:rPr>
        <w:t>monitoring officer</w:t>
      </w:r>
      <w:r w:rsidR="005D20C0" w:rsidRPr="00BF3AE8">
        <w:rPr>
          <w:rFonts w:ascii="Arial" w:hAnsi="Arial" w:cs="Arial"/>
          <w:color w:val="215E99" w:themeColor="text2" w:themeTint="BF"/>
        </w:rPr>
        <w:t xml:space="preserve"> </w:t>
      </w:r>
      <w:r w:rsidRPr="001F0712">
        <w:rPr>
          <w:rFonts w:ascii="Arial" w:hAnsi="Arial" w:cs="Arial"/>
        </w:rPr>
        <w:t xml:space="preserve">designated under section </w:t>
      </w:r>
      <w:proofErr w:type="gramStart"/>
      <w:r w:rsidRPr="001F0712">
        <w:rPr>
          <w:rFonts w:ascii="Arial" w:hAnsi="Arial" w:cs="Arial"/>
        </w:rPr>
        <w:t>5(1);</w:t>
      </w:r>
      <w:proofErr w:type="gramEnd"/>
    </w:p>
    <w:p w14:paraId="3DA0F888" w14:textId="26ABDEFF" w:rsidR="006836AA" w:rsidRPr="001F0712" w:rsidRDefault="005D20C0" w:rsidP="006E6B9D">
      <w:pPr>
        <w:pStyle w:val="ListParagraph"/>
        <w:numPr>
          <w:ilvl w:val="0"/>
          <w:numId w:val="18"/>
        </w:numPr>
        <w:ind w:right="-483"/>
        <w:rPr>
          <w:rFonts w:ascii="Arial" w:hAnsi="Arial" w:cs="Arial"/>
        </w:rPr>
      </w:pPr>
      <w:r w:rsidRPr="00BF3AE8">
        <w:rPr>
          <w:rFonts w:ascii="Arial" w:hAnsi="Arial" w:cs="Arial"/>
          <w:i/>
          <w:iCs/>
          <w:color w:val="215E99" w:themeColor="text2" w:themeTint="BF"/>
        </w:rPr>
        <w:t>S</w:t>
      </w:r>
      <w:r w:rsidR="006836AA" w:rsidRPr="00BF3AE8">
        <w:rPr>
          <w:rFonts w:ascii="Arial" w:hAnsi="Arial" w:cs="Arial"/>
          <w:i/>
          <w:iCs/>
          <w:color w:val="215E99" w:themeColor="text2" w:themeTint="BF"/>
        </w:rPr>
        <w:t>tatutory chief officer</w:t>
      </w:r>
      <w:r w:rsidRPr="00BF3AE8">
        <w:rPr>
          <w:rFonts w:ascii="Arial" w:hAnsi="Arial" w:cs="Arial"/>
          <w:i/>
          <w:iCs/>
          <w:color w:val="215E99" w:themeColor="text2" w:themeTint="BF"/>
        </w:rPr>
        <w:t>s</w:t>
      </w:r>
      <w:r w:rsidR="006836AA" w:rsidRPr="00BF3AE8">
        <w:rPr>
          <w:rFonts w:ascii="Arial" w:hAnsi="Arial" w:cs="Arial"/>
          <w:color w:val="215E99" w:themeColor="text2" w:themeTint="BF"/>
        </w:rPr>
        <w:t xml:space="preserve"> </w:t>
      </w:r>
      <w:r w:rsidRPr="001F0712">
        <w:rPr>
          <w:rFonts w:ascii="Arial" w:hAnsi="Arial" w:cs="Arial"/>
        </w:rPr>
        <w:t xml:space="preserve">designated under </w:t>
      </w:r>
      <w:r w:rsidR="006836AA" w:rsidRPr="001F0712">
        <w:rPr>
          <w:rFonts w:ascii="Arial" w:hAnsi="Arial" w:cs="Arial"/>
        </w:rPr>
        <w:t xml:space="preserve">section </w:t>
      </w:r>
      <w:proofErr w:type="gramStart"/>
      <w:r w:rsidR="006836AA" w:rsidRPr="001F0712">
        <w:rPr>
          <w:rFonts w:ascii="Arial" w:hAnsi="Arial" w:cs="Arial"/>
        </w:rPr>
        <w:t>2(6);</w:t>
      </w:r>
      <w:proofErr w:type="gramEnd"/>
    </w:p>
    <w:p w14:paraId="636B4D66" w14:textId="3B430BB5" w:rsidR="006836AA" w:rsidRPr="001F0712" w:rsidRDefault="005D20C0" w:rsidP="006E6B9D">
      <w:pPr>
        <w:pStyle w:val="ListParagraph"/>
        <w:numPr>
          <w:ilvl w:val="0"/>
          <w:numId w:val="18"/>
        </w:numPr>
        <w:ind w:right="-483"/>
        <w:rPr>
          <w:rFonts w:ascii="Arial" w:hAnsi="Arial" w:cs="Arial"/>
        </w:rPr>
      </w:pPr>
      <w:r w:rsidRPr="00BF3AE8">
        <w:rPr>
          <w:rFonts w:ascii="Arial" w:hAnsi="Arial" w:cs="Arial"/>
          <w:i/>
          <w:iCs/>
          <w:color w:val="215E99" w:themeColor="text2" w:themeTint="BF"/>
        </w:rPr>
        <w:t>N</w:t>
      </w:r>
      <w:r w:rsidR="006836AA" w:rsidRPr="00BF3AE8">
        <w:rPr>
          <w:rFonts w:ascii="Arial" w:hAnsi="Arial" w:cs="Arial"/>
          <w:i/>
          <w:iCs/>
          <w:color w:val="215E99" w:themeColor="text2" w:themeTint="BF"/>
        </w:rPr>
        <w:t>on-statutory chief officer</w:t>
      </w:r>
      <w:r w:rsidRPr="00BF3AE8">
        <w:rPr>
          <w:rFonts w:ascii="Arial" w:hAnsi="Arial" w:cs="Arial"/>
          <w:i/>
          <w:iCs/>
          <w:color w:val="215E99" w:themeColor="text2" w:themeTint="BF"/>
        </w:rPr>
        <w:t>s</w:t>
      </w:r>
      <w:r w:rsidR="006836AA" w:rsidRPr="00BF3AE8">
        <w:rPr>
          <w:rFonts w:ascii="Arial" w:hAnsi="Arial" w:cs="Arial"/>
          <w:color w:val="215E99" w:themeColor="text2" w:themeTint="BF"/>
        </w:rPr>
        <w:t xml:space="preserve"> </w:t>
      </w:r>
      <w:r w:rsidRPr="001F0712">
        <w:rPr>
          <w:rFonts w:ascii="Arial" w:hAnsi="Arial" w:cs="Arial"/>
        </w:rPr>
        <w:t xml:space="preserve">designated under </w:t>
      </w:r>
      <w:r w:rsidR="006836AA" w:rsidRPr="001F0712">
        <w:rPr>
          <w:rFonts w:ascii="Arial" w:hAnsi="Arial" w:cs="Arial"/>
        </w:rPr>
        <w:t>section 2(7);</w:t>
      </w:r>
      <w:r w:rsidRPr="001F0712">
        <w:rPr>
          <w:rFonts w:ascii="Arial" w:hAnsi="Arial" w:cs="Arial"/>
        </w:rPr>
        <w:t xml:space="preserve"> and</w:t>
      </w:r>
    </w:p>
    <w:p w14:paraId="268533A6" w14:textId="6DC19317" w:rsidR="006836AA" w:rsidRPr="001F0712" w:rsidRDefault="005D20C0" w:rsidP="006E6B9D">
      <w:pPr>
        <w:pStyle w:val="ListParagraph"/>
        <w:numPr>
          <w:ilvl w:val="0"/>
          <w:numId w:val="18"/>
        </w:numPr>
        <w:ind w:right="-483"/>
        <w:rPr>
          <w:rFonts w:ascii="Arial" w:hAnsi="Arial" w:cs="Arial"/>
        </w:rPr>
      </w:pPr>
      <w:r w:rsidRPr="00BF3AE8">
        <w:rPr>
          <w:rFonts w:ascii="Arial" w:hAnsi="Arial" w:cs="Arial"/>
          <w:i/>
          <w:iCs/>
          <w:color w:val="215E99" w:themeColor="text2" w:themeTint="BF"/>
        </w:rPr>
        <w:t>D</w:t>
      </w:r>
      <w:r w:rsidR="006836AA" w:rsidRPr="00BF3AE8">
        <w:rPr>
          <w:rFonts w:ascii="Arial" w:hAnsi="Arial" w:cs="Arial"/>
          <w:i/>
          <w:iCs/>
          <w:color w:val="215E99" w:themeColor="text2" w:themeTint="BF"/>
        </w:rPr>
        <w:t xml:space="preserve">eputy </w:t>
      </w:r>
      <w:r w:rsidRPr="00BF3AE8">
        <w:rPr>
          <w:rFonts w:ascii="Arial" w:hAnsi="Arial" w:cs="Arial"/>
          <w:i/>
          <w:iCs/>
          <w:color w:val="215E99" w:themeColor="text2" w:themeTint="BF"/>
        </w:rPr>
        <w:t>c</w:t>
      </w:r>
      <w:r w:rsidR="006836AA" w:rsidRPr="00BF3AE8">
        <w:rPr>
          <w:rFonts w:ascii="Arial" w:hAnsi="Arial" w:cs="Arial"/>
          <w:i/>
          <w:iCs/>
          <w:color w:val="215E99" w:themeColor="text2" w:themeTint="BF"/>
        </w:rPr>
        <w:t xml:space="preserve">hief </w:t>
      </w:r>
      <w:r w:rsidRPr="00BF3AE8">
        <w:rPr>
          <w:rFonts w:ascii="Arial" w:hAnsi="Arial" w:cs="Arial"/>
          <w:i/>
          <w:iCs/>
          <w:color w:val="215E99" w:themeColor="text2" w:themeTint="BF"/>
        </w:rPr>
        <w:t>o</w:t>
      </w:r>
      <w:r w:rsidR="006836AA" w:rsidRPr="00BF3AE8">
        <w:rPr>
          <w:rFonts w:ascii="Arial" w:hAnsi="Arial" w:cs="Arial"/>
          <w:i/>
          <w:iCs/>
          <w:color w:val="215E99" w:themeColor="text2" w:themeTint="BF"/>
        </w:rPr>
        <w:t>fficer</w:t>
      </w:r>
      <w:r w:rsidRPr="00BF3AE8">
        <w:rPr>
          <w:rFonts w:ascii="Arial" w:hAnsi="Arial" w:cs="Arial"/>
          <w:i/>
          <w:iCs/>
          <w:color w:val="215E99" w:themeColor="text2" w:themeTint="BF"/>
        </w:rPr>
        <w:t>s</w:t>
      </w:r>
      <w:r w:rsidR="006836AA" w:rsidRPr="00BF3AE8">
        <w:rPr>
          <w:rFonts w:ascii="Arial" w:hAnsi="Arial" w:cs="Arial"/>
          <w:color w:val="215E99" w:themeColor="text2" w:themeTint="BF"/>
        </w:rPr>
        <w:t xml:space="preserve"> </w:t>
      </w:r>
      <w:r w:rsidRPr="001F0712">
        <w:rPr>
          <w:rFonts w:ascii="Arial" w:hAnsi="Arial" w:cs="Arial"/>
        </w:rPr>
        <w:t xml:space="preserve">designated under </w:t>
      </w:r>
      <w:r w:rsidR="006836AA" w:rsidRPr="001F0712">
        <w:rPr>
          <w:rFonts w:ascii="Arial" w:hAnsi="Arial" w:cs="Arial"/>
        </w:rPr>
        <w:t>section 2(8).</w:t>
      </w:r>
    </w:p>
    <w:p w14:paraId="6BC989D8" w14:textId="77777777" w:rsidR="0040776D" w:rsidRPr="001F0712" w:rsidRDefault="0040776D" w:rsidP="001F16C7">
      <w:pPr>
        <w:pStyle w:val="ListParagraph"/>
        <w:rPr>
          <w:rFonts w:ascii="Arial" w:hAnsi="Arial" w:cs="Arial"/>
        </w:rPr>
      </w:pPr>
    </w:p>
    <w:p w14:paraId="579B7EF4" w14:textId="59FCC4E1" w:rsidR="00812F1B" w:rsidRPr="001F0712" w:rsidRDefault="007E2EF8" w:rsidP="00C31FA3">
      <w:pPr>
        <w:pStyle w:val="Heading2"/>
        <w:numPr>
          <w:ilvl w:val="0"/>
          <w:numId w:val="0"/>
        </w:numPr>
        <w:ind w:left="709"/>
        <w:rPr>
          <w:rFonts w:cs="Arial"/>
        </w:rPr>
      </w:pPr>
      <w:bookmarkStart w:id="7" w:name="_Toc194319270"/>
      <w:r w:rsidRPr="001F0712">
        <w:rPr>
          <w:rFonts w:cs="Arial"/>
        </w:rPr>
        <w:t>Scope</w:t>
      </w:r>
      <w:bookmarkEnd w:id="7"/>
    </w:p>
    <w:p w14:paraId="091201D6" w14:textId="43D965BA" w:rsidR="00070540" w:rsidRPr="001F0712" w:rsidRDefault="00070540" w:rsidP="006E6B9D">
      <w:pPr>
        <w:numPr>
          <w:ilvl w:val="1"/>
          <w:numId w:val="1"/>
        </w:numPr>
        <w:ind w:left="709" w:right="-483" w:hanging="709"/>
        <w:rPr>
          <w:rFonts w:ascii="Arial" w:hAnsi="Arial" w:cs="Arial"/>
        </w:rPr>
      </w:pPr>
      <w:r w:rsidRPr="001F0712">
        <w:rPr>
          <w:rFonts w:ascii="Arial" w:hAnsi="Arial" w:cs="Arial"/>
        </w:rPr>
        <w:t xml:space="preserve">The following posts have </w:t>
      </w:r>
      <w:r w:rsidR="00724056" w:rsidRPr="001F0712">
        <w:rPr>
          <w:rFonts w:ascii="Arial" w:hAnsi="Arial" w:cs="Arial"/>
        </w:rPr>
        <w:t xml:space="preserve">been </w:t>
      </w:r>
      <w:r w:rsidRPr="001F0712">
        <w:rPr>
          <w:rFonts w:ascii="Arial" w:hAnsi="Arial" w:cs="Arial"/>
        </w:rPr>
        <w:t xml:space="preserve">identified as </w:t>
      </w:r>
      <w:r w:rsidR="006A5E56" w:rsidRPr="001F0712">
        <w:rPr>
          <w:rFonts w:ascii="Arial" w:hAnsi="Arial" w:cs="Arial"/>
        </w:rPr>
        <w:t>matching</w:t>
      </w:r>
      <w:r w:rsidRPr="001F0712">
        <w:rPr>
          <w:rFonts w:ascii="Arial" w:hAnsi="Arial" w:cs="Arial"/>
        </w:rPr>
        <w:t xml:space="preserve"> the definition </w:t>
      </w:r>
      <w:r w:rsidR="00C27EF0" w:rsidRPr="001F0712">
        <w:rPr>
          <w:rFonts w:ascii="Arial" w:hAnsi="Arial" w:cs="Arial"/>
        </w:rPr>
        <w:t xml:space="preserve">of </w:t>
      </w:r>
      <w:r w:rsidR="00C005C6" w:rsidRPr="001F0712">
        <w:rPr>
          <w:rFonts w:ascii="Arial" w:hAnsi="Arial" w:cs="Arial"/>
        </w:rPr>
        <w:t>chief officers</w:t>
      </w:r>
      <w:r w:rsidR="00A91358" w:rsidRPr="001F0712">
        <w:rPr>
          <w:rFonts w:ascii="Arial" w:hAnsi="Arial" w:cs="Arial"/>
        </w:rPr>
        <w:t>:</w:t>
      </w:r>
    </w:p>
    <w:p w14:paraId="12DD2A63" w14:textId="77777777" w:rsidR="00070540" w:rsidRPr="001F0712" w:rsidRDefault="00070540" w:rsidP="00724056">
      <w:pPr>
        <w:rPr>
          <w:rFonts w:ascii="Arial" w:hAnsi="Arial" w:cs="Arial"/>
        </w:rPr>
      </w:pPr>
    </w:p>
    <w:p w14:paraId="49AFE1EB" w14:textId="6DBCF85B" w:rsidR="00CF0EC8" w:rsidRPr="001F0712" w:rsidRDefault="00A91358" w:rsidP="006E6B9D">
      <w:pPr>
        <w:pStyle w:val="ListParagraph"/>
        <w:numPr>
          <w:ilvl w:val="0"/>
          <w:numId w:val="18"/>
        </w:numPr>
        <w:ind w:right="-483"/>
        <w:rPr>
          <w:rFonts w:ascii="Arial" w:hAnsi="Arial" w:cs="Arial"/>
        </w:rPr>
      </w:pPr>
      <w:r w:rsidRPr="001F0712">
        <w:rPr>
          <w:rFonts w:ascii="Arial" w:hAnsi="Arial" w:cs="Arial"/>
        </w:rPr>
        <w:t xml:space="preserve">The </w:t>
      </w:r>
      <w:r w:rsidRPr="00526755">
        <w:rPr>
          <w:rFonts w:ascii="Arial" w:hAnsi="Arial" w:cs="Arial"/>
          <w:color w:val="215E99" w:themeColor="text2" w:themeTint="BF"/>
        </w:rPr>
        <w:t>h</w:t>
      </w:r>
      <w:r w:rsidR="00CF0EC8" w:rsidRPr="00526755">
        <w:rPr>
          <w:rFonts w:ascii="Arial" w:hAnsi="Arial" w:cs="Arial"/>
          <w:color w:val="215E99" w:themeColor="text2" w:themeTint="BF"/>
        </w:rPr>
        <w:t xml:space="preserve">ead of </w:t>
      </w:r>
      <w:r w:rsidRPr="00526755">
        <w:rPr>
          <w:rFonts w:ascii="Arial" w:hAnsi="Arial" w:cs="Arial"/>
          <w:color w:val="215E99" w:themeColor="text2" w:themeTint="BF"/>
        </w:rPr>
        <w:t>p</w:t>
      </w:r>
      <w:r w:rsidR="00CF0EC8" w:rsidRPr="00526755">
        <w:rPr>
          <w:rFonts w:ascii="Arial" w:hAnsi="Arial" w:cs="Arial"/>
          <w:color w:val="215E99" w:themeColor="text2" w:themeTint="BF"/>
        </w:rPr>
        <w:t xml:space="preserve">aid service </w:t>
      </w:r>
      <w:r w:rsidR="00CF0EC8" w:rsidRPr="001F0712">
        <w:rPr>
          <w:rFonts w:ascii="Arial" w:hAnsi="Arial" w:cs="Arial"/>
        </w:rPr>
        <w:t>designated under section 4(1)</w:t>
      </w:r>
      <w:r w:rsidR="00070134" w:rsidRPr="001F0712">
        <w:rPr>
          <w:rFonts w:ascii="Arial" w:hAnsi="Arial" w:cs="Arial"/>
        </w:rPr>
        <w:t xml:space="preserve"> is i</w:t>
      </w:r>
      <w:r w:rsidR="00DC1059" w:rsidRPr="001F0712">
        <w:rPr>
          <w:rFonts w:ascii="Arial" w:hAnsi="Arial" w:cs="Arial"/>
        </w:rPr>
        <w:t>nterpreted</w:t>
      </w:r>
      <w:r w:rsidR="00070134" w:rsidRPr="001F0712">
        <w:rPr>
          <w:rFonts w:ascii="Arial" w:hAnsi="Arial" w:cs="Arial"/>
        </w:rPr>
        <w:t xml:space="preserve"> as the Chief Fire Officer</w:t>
      </w:r>
      <w:r w:rsidR="00625BAA" w:rsidRPr="001F0712">
        <w:rPr>
          <w:rFonts w:ascii="Arial" w:hAnsi="Arial" w:cs="Arial"/>
        </w:rPr>
        <w:t xml:space="preserve"> and </w:t>
      </w:r>
      <w:r w:rsidR="00267D3E" w:rsidRPr="001F0712">
        <w:rPr>
          <w:rFonts w:ascii="Arial" w:hAnsi="Arial" w:cs="Arial"/>
        </w:rPr>
        <w:t>Chief Executive</w:t>
      </w:r>
      <w:r w:rsidR="00625BAA" w:rsidRPr="001F0712">
        <w:rPr>
          <w:rFonts w:ascii="Arial" w:hAnsi="Arial" w:cs="Arial"/>
        </w:rPr>
        <w:t xml:space="preserve"> / Clerk to the Authority</w:t>
      </w:r>
    </w:p>
    <w:p w14:paraId="7B7AD8EC" w14:textId="77777777" w:rsidR="00CF0EC8" w:rsidRPr="001F0712" w:rsidRDefault="00CF0EC8" w:rsidP="00724056">
      <w:pPr>
        <w:ind w:left="349"/>
        <w:rPr>
          <w:rFonts w:ascii="Arial" w:hAnsi="Arial" w:cs="Arial"/>
        </w:rPr>
      </w:pPr>
    </w:p>
    <w:p w14:paraId="32E0CCCC" w14:textId="4B42100B" w:rsidR="004203A3" w:rsidRPr="001F0712" w:rsidRDefault="00547EF0" w:rsidP="006E6B9D">
      <w:pPr>
        <w:pStyle w:val="ListParagraph"/>
        <w:numPr>
          <w:ilvl w:val="0"/>
          <w:numId w:val="18"/>
        </w:numPr>
        <w:ind w:right="-483"/>
        <w:rPr>
          <w:rFonts w:ascii="Arial" w:hAnsi="Arial" w:cs="Arial"/>
        </w:rPr>
      </w:pPr>
      <w:r w:rsidRPr="001F0712">
        <w:rPr>
          <w:rFonts w:ascii="Arial" w:hAnsi="Arial" w:cs="Arial"/>
        </w:rPr>
        <w:lastRenderedPageBreak/>
        <w:t xml:space="preserve">The </w:t>
      </w:r>
      <w:r w:rsidRPr="00526755">
        <w:rPr>
          <w:rFonts w:ascii="Arial" w:hAnsi="Arial" w:cs="Arial"/>
          <w:color w:val="215E99" w:themeColor="text2" w:themeTint="BF"/>
        </w:rPr>
        <w:t>m</w:t>
      </w:r>
      <w:r w:rsidR="00CF0EC8" w:rsidRPr="00526755">
        <w:rPr>
          <w:rFonts w:ascii="Arial" w:hAnsi="Arial" w:cs="Arial"/>
          <w:color w:val="215E99" w:themeColor="text2" w:themeTint="BF"/>
        </w:rPr>
        <w:t xml:space="preserve">onitoring </w:t>
      </w:r>
      <w:r w:rsidR="00A91358" w:rsidRPr="00526755">
        <w:rPr>
          <w:rFonts w:ascii="Arial" w:hAnsi="Arial" w:cs="Arial"/>
          <w:color w:val="215E99" w:themeColor="text2" w:themeTint="BF"/>
        </w:rPr>
        <w:t>o</w:t>
      </w:r>
      <w:r w:rsidR="00CF0EC8" w:rsidRPr="00526755">
        <w:rPr>
          <w:rFonts w:ascii="Arial" w:hAnsi="Arial" w:cs="Arial"/>
          <w:color w:val="215E99" w:themeColor="text2" w:themeTint="BF"/>
        </w:rPr>
        <w:t xml:space="preserve">fficer </w:t>
      </w:r>
      <w:r w:rsidR="00CF0EC8" w:rsidRPr="001F0712">
        <w:rPr>
          <w:rFonts w:ascii="Arial" w:hAnsi="Arial" w:cs="Arial"/>
        </w:rPr>
        <w:t>design</w:t>
      </w:r>
      <w:r w:rsidR="00C16A2B" w:rsidRPr="001F0712">
        <w:rPr>
          <w:rFonts w:ascii="Arial" w:hAnsi="Arial" w:cs="Arial"/>
        </w:rPr>
        <w:t>a</w:t>
      </w:r>
      <w:r w:rsidR="00CF0EC8" w:rsidRPr="001F0712">
        <w:rPr>
          <w:rFonts w:ascii="Arial" w:hAnsi="Arial" w:cs="Arial"/>
        </w:rPr>
        <w:t>ted under section 5(1)</w:t>
      </w:r>
      <w:r w:rsidR="003E1976" w:rsidRPr="001F0712">
        <w:rPr>
          <w:rFonts w:ascii="Arial" w:hAnsi="Arial" w:cs="Arial"/>
        </w:rPr>
        <w:t xml:space="preserve"> is </w:t>
      </w:r>
      <w:r w:rsidR="00DC1059" w:rsidRPr="001F0712">
        <w:rPr>
          <w:rFonts w:ascii="Arial" w:hAnsi="Arial" w:cs="Arial"/>
        </w:rPr>
        <w:t>interpreted</w:t>
      </w:r>
      <w:r w:rsidR="003E1976" w:rsidRPr="001F0712">
        <w:rPr>
          <w:rFonts w:ascii="Arial" w:hAnsi="Arial" w:cs="Arial"/>
        </w:rPr>
        <w:t xml:space="preserve"> as </w:t>
      </w:r>
      <w:r w:rsidR="004203A3" w:rsidRPr="001F0712">
        <w:rPr>
          <w:rFonts w:ascii="Arial" w:hAnsi="Arial" w:cs="Arial"/>
        </w:rPr>
        <w:t xml:space="preserve">the </w:t>
      </w:r>
      <w:r w:rsidR="00CD047D" w:rsidRPr="001F0712">
        <w:rPr>
          <w:rFonts w:ascii="Arial" w:hAnsi="Arial" w:cs="Arial"/>
        </w:rPr>
        <w:t>Assistant Director o</w:t>
      </w:r>
      <w:r w:rsidR="004203A3" w:rsidRPr="001F0712">
        <w:rPr>
          <w:rFonts w:ascii="Arial" w:hAnsi="Arial" w:cs="Arial"/>
        </w:rPr>
        <w:t>f Law and Governance at Sunderland City Council</w:t>
      </w:r>
      <w:r w:rsidR="00573CAC" w:rsidRPr="001F0712">
        <w:rPr>
          <w:rFonts w:ascii="Arial" w:hAnsi="Arial" w:cs="Arial"/>
        </w:rPr>
        <w:t>, who also acts as Deputy Clerk to the Authority</w:t>
      </w:r>
      <w:r w:rsidR="004203A3" w:rsidRPr="001F0712">
        <w:rPr>
          <w:rFonts w:ascii="Arial" w:hAnsi="Arial" w:cs="Arial"/>
        </w:rPr>
        <w:t>.</w:t>
      </w:r>
    </w:p>
    <w:p w14:paraId="751D79B6" w14:textId="77777777" w:rsidR="00CF0EC8" w:rsidRPr="001F0712" w:rsidRDefault="00CF0EC8" w:rsidP="00724056">
      <w:pPr>
        <w:ind w:left="349"/>
        <w:rPr>
          <w:rFonts w:ascii="Arial" w:hAnsi="Arial" w:cs="Arial"/>
          <w:sz w:val="14"/>
          <w:szCs w:val="14"/>
        </w:rPr>
      </w:pPr>
    </w:p>
    <w:p w14:paraId="3F0B7ACA" w14:textId="0A28E5B3" w:rsidR="00A91358" w:rsidRPr="001F0712" w:rsidRDefault="00CF0EC8" w:rsidP="006E6B9D">
      <w:pPr>
        <w:pStyle w:val="ListParagraph"/>
        <w:numPr>
          <w:ilvl w:val="0"/>
          <w:numId w:val="18"/>
        </w:numPr>
        <w:ind w:right="-483"/>
        <w:rPr>
          <w:rFonts w:ascii="Arial" w:hAnsi="Arial" w:cs="Arial"/>
        </w:rPr>
      </w:pPr>
      <w:r w:rsidRPr="00526755">
        <w:rPr>
          <w:rFonts w:ascii="Arial" w:hAnsi="Arial" w:cs="Arial"/>
          <w:color w:val="215E99" w:themeColor="text2" w:themeTint="BF"/>
        </w:rPr>
        <w:t xml:space="preserve">Statutory </w:t>
      </w:r>
      <w:r w:rsidR="00C005C6" w:rsidRPr="00526755">
        <w:rPr>
          <w:rFonts w:ascii="Arial" w:hAnsi="Arial" w:cs="Arial"/>
          <w:color w:val="215E99" w:themeColor="text2" w:themeTint="BF"/>
        </w:rPr>
        <w:t>chief officers</w:t>
      </w:r>
      <w:r w:rsidR="00A91358" w:rsidRPr="001F0712">
        <w:rPr>
          <w:rFonts w:ascii="Arial" w:hAnsi="Arial" w:cs="Arial"/>
        </w:rPr>
        <w:t xml:space="preserve">: </w:t>
      </w:r>
      <w:r w:rsidR="00484825" w:rsidRPr="001F0712">
        <w:rPr>
          <w:rFonts w:ascii="Arial" w:hAnsi="Arial" w:cs="Arial"/>
        </w:rPr>
        <w:t>u</w:t>
      </w:r>
      <w:r w:rsidR="00A91358" w:rsidRPr="001F0712">
        <w:rPr>
          <w:rFonts w:ascii="Arial" w:hAnsi="Arial" w:cs="Arial"/>
        </w:rPr>
        <w:t>nder the Act, the only statutory chief officer within the Authority not already identified above is the Director of Finance, Estates and Facilities who has responsibility, under s151 of the Local Government Act 1972 and s73 of the Local Government Act 1985, for the administration of the Authority's financial affairs</w:t>
      </w:r>
      <w:r w:rsidR="00C005C6" w:rsidRPr="001F0712">
        <w:rPr>
          <w:rFonts w:ascii="Arial" w:hAnsi="Arial" w:cs="Arial"/>
        </w:rPr>
        <w:t xml:space="preserve"> and is employed on Green Book terms and conditions.</w:t>
      </w:r>
    </w:p>
    <w:p w14:paraId="06180F6C" w14:textId="77777777" w:rsidR="00A91358" w:rsidRPr="001F0712" w:rsidRDefault="00A91358" w:rsidP="00C005C6">
      <w:pPr>
        <w:ind w:left="349"/>
        <w:rPr>
          <w:rFonts w:ascii="Arial" w:hAnsi="Arial" w:cs="Arial"/>
          <w:sz w:val="14"/>
          <w:szCs w:val="14"/>
        </w:rPr>
      </w:pPr>
    </w:p>
    <w:p w14:paraId="7BE10F5F" w14:textId="79BB433B" w:rsidR="00C005C6" w:rsidRPr="001F0712" w:rsidRDefault="00484825" w:rsidP="006E6B9D">
      <w:pPr>
        <w:pStyle w:val="ListParagraph"/>
        <w:numPr>
          <w:ilvl w:val="0"/>
          <w:numId w:val="18"/>
        </w:numPr>
        <w:ind w:right="-483"/>
        <w:rPr>
          <w:rFonts w:ascii="Arial" w:hAnsi="Arial" w:cs="Arial"/>
        </w:rPr>
      </w:pPr>
      <w:r w:rsidRPr="00526755">
        <w:rPr>
          <w:rFonts w:ascii="Arial" w:hAnsi="Arial" w:cs="Arial"/>
          <w:color w:val="215E99" w:themeColor="text2" w:themeTint="BF"/>
        </w:rPr>
        <w:t>N</w:t>
      </w:r>
      <w:r w:rsidR="00CF0EC8" w:rsidRPr="00526755">
        <w:rPr>
          <w:rFonts w:ascii="Arial" w:hAnsi="Arial" w:cs="Arial"/>
          <w:color w:val="215E99" w:themeColor="text2" w:themeTint="BF"/>
        </w:rPr>
        <w:t>on-</w:t>
      </w:r>
      <w:r w:rsidR="00C005C6" w:rsidRPr="00526755">
        <w:rPr>
          <w:rFonts w:ascii="Arial" w:hAnsi="Arial" w:cs="Arial"/>
          <w:color w:val="215E99" w:themeColor="text2" w:themeTint="BF"/>
        </w:rPr>
        <w:t>statutory chief officers</w:t>
      </w:r>
      <w:r w:rsidRPr="001F0712">
        <w:rPr>
          <w:rFonts w:ascii="Arial" w:hAnsi="Arial" w:cs="Arial"/>
        </w:rPr>
        <w:t>:</w:t>
      </w:r>
      <w:r w:rsidR="00CF0EC8" w:rsidRPr="001F0712">
        <w:rPr>
          <w:rFonts w:ascii="Arial" w:hAnsi="Arial" w:cs="Arial"/>
        </w:rPr>
        <w:t xml:space="preserve"> </w:t>
      </w:r>
      <w:r w:rsidRPr="001F0712">
        <w:rPr>
          <w:rFonts w:ascii="Arial" w:hAnsi="Arial" w:cs="Arial"/>
        </w:rPr>
        <w:t>these are interpreted as the Deputy Chief Fire Officer and Assistant Chief Fire Officer</w:t>
      </w:r>
      <w:r w:rsidR="00C005C6" w:rsidRPr="001F0712">
        <w:rPr>
          <w:rFonts w:ascii="Arial" w:hAnsi="Arial" w:cs="Arial"/>
        </w:rPr>
        <w:t xml:space="preserve"> who both </w:t>
      </w:r>
      <w:proofErr w:type="gramStart"/>
      <w:r w:rsidR="00C005C6" w:rsidRPr="001F0712">
        <w:rPr>
          <w:rFonts w:ascii="Arial" w:hAnsi="Arial" w:cs="Arial"/>
        </w:rPr>
        <w:t>report</w:t>
      </w:r>
      <w:proofErr w:type="gramEnd"/>
      <w:r w:rsidR="00C005C6" w:rsidRPr="001F0712">
        <w:rPr>
          <w:rFonts w:ascii="Arial" w:hAnsi="Arial" w:cs="Arial"/>
        </w:rPr>
        <w:t xml:space="preserve"> directly to the Chief Fire Officer and Chief Executive / Clerk to the Authority. As well as performing organisational management functions these officers provide the most senior operational command for the Authority.  </w:t>
      </w:r>
      <w:r w:rsidR="00E94308" w:rsidRPr="001F0712">
        <w:rPr>
          <w:rFonts w:ascii="Arial" w:hAnsi="Arial" w:cs="Arial"/>
        </w:rPr>
        <w:t>The</w:t>
      </w:r>
      <w:r w:rsidR="00C005C6" w:rsidRPr="001F0712">
        <w:rPr>
          <w:rFonts w:ascii="Arial" w:hAnsi="Arial" w:cs="Arial"/>
        </w:rPr>
        <w:t xml:space="preserve"> </w:t>
      </w:r>
      <w:r w:rsidR="00A92C66" w:rsidRPr="001F0712">
        <w:rPr>
          <w:rFonts w:ascii="Arial" w:hAnsi="Arial" w:cs="Arial"/>
        </w:rPr>
        <w:t xml:space="preserve">Authority’s </w:t>
      </w:r>
      <w:r w:rsidR="00C005C6" w:rsidRPr="001F0712">
        <w:rPr>
          <w:rFonts w:ascii="Arial" w:hAnsi="Arial" w:cs="Arial"/>
        </w:rPr>
        <w:t xml:space="preserve">three </w:t>
      </w:r>
      <w:r w:rsidR="00A92C66" w:rsidRPr="001F0712">
        <w:rPr>
          <w:rFonts w:ascii="Arial" w:hAnsi="Arial" w:cs="Arial"/>
        </w:rPr>
        <w:t xml:space="preserve">most senior officers are termed </w:t>
      </w:r>
      <w:r w:rsidR="00C005C6" w:rsidRPr="001F0712">
        <w:rPr>
          <w:rFonts w:ascii="Arial" w:hAnsi="Arial" w:cs="Arial"/>
        </w:rPr>
        <w:t>Principal Officers</w:t>
      </w:r>
      <w:r w:rsidR="00A92C66" w:rsidRPr="001F0712">
        <w:rPr>
          <w:rFonts w:ascii="Arial" w:hAnsi="Arial" w:cs="Arial"/>
        </w:rPr>
        <w:t xml:space="preserve"> and</w:t>
      </w:r>
      <w:r w:rsidR="00C005C6" w:rsidRPr="001F0712">
        <w:rPr>
          <w:rFonts w:ascii="Arial" w:hAnsi="Arial" w:cs="Arial"/>
        </w:rPr>
        <w:t xml:space="preserve"> are employed on the terms defined by the National Joint Council (NJC) for brigade managers of fire and rescue services (the Gold Book).</w:t>
      </w:r>
    </w:p>
    <w:p w14:paraId="73A3391F" w14:textId="77777777" w:rsidR="00CF0EC8" w:rsidRPr="001F0712" w:rsidRDefault="00CF0EC8" w:rsidP="00724056">
      <w:pPr>
        <w:ind w:left="349"/>
        <w:rPr>
          <w:rFonts w:ascii="Arial" w:hAnsi="Arial" w:cs="Arial"/>
          <w:sz w:val="14"/>
          <w:szCs w:val="14"/>
        </w:rPr>
      </w:pPr>
    </w:p>
    <w:p w14:paraId="2ABB1613" w14:textId="26725B86" w:rsidR="005A73F6" w:rsidRPr="001F0712" w:rsidRDefault="00CF0EC8" w:rsidP="006E6B9D">
      <w:pPr>
        <w:pStyle w:val="ListParagraph"/>
        <w:numPr>
          <w:ilvl w:val="0"/>
          <w:numId w:val="18"/>
        </w:numPr>
        <w:ind w:right="-483"/>
        <w:rPr>
          <w:rFonts w:ascii="Arial" w:hAnsi="Arial" w:cs="Arial"/>
        </w:rPr>
      </w:pPr>
      <w:r w:rsidRPr="00526755">
        <w:rPr>
          <w:rFonts w:ascii="Arial" w:hAnsi="Arial" w:cs="Arial"/>
          <w:color w:val="215E99" w:themeColor="text2" w:themeTint="BF"/>
        </w:rPr>
        <w:t>Deputy Chief Officer</w:t>
      </w:r>
      <w:r w:rsidR="005A73F6" w:rsidRPr="00526755">
        <w:rPr>
          <w:rFonts w:ascii="Arial" w:hAnsi="Arial" w:cs="Arial"/>
          <w:color w:val="215E99" w:themeColor="text2" w:themeTint="BF"/>
        </w:rPr>
        <w:t>s</w:t>
      </w:r>
      <w:r w:rsidRPr="00526755">
        <w:rPr>
          <w:rFonts w:ascii="Arial" w:hAnsi="Arial" w:cs="Arial"/>
          <w:color w:val="215E99" w:themeColor="text2" w:themeTint="BF"/>
        </w:rPr>
        <w:t xml:space="preserve"> </w:t>
      </w:r>
      <w:r w:rsidR="005A73F6" w:rsidRPr="001F0712">
        <w:rPr>
          <w:rFonts w:ascii="Arial" w:hAnsi="Arial" w:cs="Arial"/>
        </w:rPr>
        <w:t xml:space="preserve">as referred to </w:t>
      </w:r>
      <w:r w:rsidRPr="001F0712">
        <w:rPr>
          <w:rFonts w:ascii="Arial" w:hAnsi="Arial" w:cs="Arial"/>
        </w:rPr>
        <w:t>in section 2(8) of that Act</w:t>
      </w:r>
      <w:r w:rsidR="004203A3" w:rsidRPr="001F0712">
        <w:rPr>
          <w:rFonts w:ascii="Arial" w:hAnsi="Arial" w:cs="Arial"/>
        </w:rPr>
        <w:t xml:space="preserve"> </w:t>
      </w:r>
      <w:r w:rsidR="005A73F6" w:rsidRPr="001F0712">
        <w:rPr>
          <w:rFonts w:ascii="Arial" w:hAnsi="Arial" w:cs="Arial"/>
        </w:rPr>
        <w:t>are</w:t>
      </w:r>
      <w:r w:rsidR="004203A3" w:rsidRPr="001F0712">
        <w:rPr>
          <w:rFonts w:ascii="Arial" w:hAnsi="Arial" w:cs="Arial"/>
        </w:rPr>
        <w:t xml:space="preserve"> </w:t>
      </w:r>
      <w:r w:rsidR="00DC1059" w:rsidRPr="001F0712">
        <w:rPr>
          <w:rFonts w:ascii="Arial" w:hAnsi="Arial" w:cs="Arial"/>
        </w:rPr>
        <w:t>interpreted</w:t>
      </w:r>
      <w:r w:rsidR="004203A3" w:rsidRPr="001F0712">
        <w:rPr>
          <w:rFonts w:ascii="Arial" w:hAnsi="Arial" w:cs="Arial"/>
        </w:rPr>
        <w:t xml:space="preserve"> as </w:t>
      </w:r>
      <w:r w:rsidR="005A73F6" w:rsidRPr="001F0712">
        <w:rPr>
          <w:rFonts w:ascii="Arial" w:hAnsi="Arial" w:cs="Arial"/>
        </w:rPr>
        <w:t xml:space="preserve">those senior </w:t>
      </w:r>
      <w:r w:rsidR="00C005C6" w:rsidRPr="001F0712">
        <w:rPr>
          <w:rFonts w:ascii="Arial" w:hAnsi="Arial" w:cs="Arial"/>
        </w:rPr>
        <w:t>employees</w:t>
      </w:r>
      <w:r w:rsidR="005A73F6" w:rsidRPr="001F0712">
        <w:rPr>
          <w:rFonts w:ascii="Arial" w:hAnsi="Arial" w:cs="Arial"/>
        </w:rPr>
        <w:t xml:space="preserve"> reporting directly to </w:t>
      </w:r>
      <w:r w:rsidR="00154374">
        <w:rPr>
          <w:rFonts w:ascii="Arial" w:hAnsi="Arial" w:cs="Arial"/>
        </w:rPr>
        <w:t>a</w:t>
      </w:r>
      <w:r w:rsidR="004203A3" w:rsidRPr="001F0712">
        <w:rPr>
          <w:rFonts w:ascii="Arial" w:hAnsi="Arial" w:cs="Arial"/>
        </w:rPr>
        <w:t xml:space="preserve"> </w:t>
      </w:r>
      <w:r w:rsidR="00C005C6" w:rsidRPr="001F0712">
        <w:rPr>
          <w:rFonts w:ascii="Arial" w:hAnsi="Arial" w:cs="Arial"/>
        </w:rPr>
        <w:t>statutory or non-statutory chief officer</w:t>
      </w:r>
      <w:r w:rsidR="005A73F6" w:rsidRPr="001F0712">
        <w:rPr>
          <w:rFonts w:ascii="Arial" w:hAnsi="Arial" w:cs="Arial"/>
        </w:rPr>
        <w:t>:</w:t>
      </w:r>
    </w:p>
    <w:p w14:paraId="664AA50D" w14:textId="77777777" w:rsidR="005A73F6" w:rsidRPr="001F0712" w:rsidRDefault="005A73F6" w:rsidP="005A73F6">
      <w:pPr>
        <w:pStyle w:val="ListParagraph"/>
        <w:rPr>
          <w:rFonts w:ascii="Arial" w:hAnsi="Arial" w:cs="Arial"/>
          <w:sz w:val="14"/>
          <w:szCs w:val="14"/>
        </w:rPr>
      </w:pPr>
    </w:p>
    <w:p w14:paraId="57D35C7C" w14:textId="46CCBF85" w:rsidR="00CF0EC8" w:rsidRPr="001F0712" w:rsidRDefault="005A73F6" w:rsidP="002B681F">
      <w:pPr>
        <w:numPr>
          <w:ilvl w:val="1"/>
          <w:numId w:val="15"/>
        </w:numPr>
        <w:ind w:left="1701"/>
        <w:rPr>
          <w:rFonts w:ascii="Arial" w:hAnsi="Arial" w:cs="Arial"/>
        </w:rPr>
      </w:pPr>
      <w:r w:rsidRPr="001F0712">
        <w:rPr>
          <w:rFonts w:ascii="Arial" w:hAnsi="Arial" w:cs="Arial"/>
        </w:rPr>
        <w:t xml:space="preserve">Area </w:t>
      </w:r>
      <w:r w:rsidR="00C005C6" w:rsidRPr="001F0712">
        <w:rPr>
          <w:rFonts w:ascii="Arial" w:hAnsi="Arial" w:cs="Arial"/>
        </w:rPr>
        <w:t>m</w:t>
      </w:r>
      <w:r w:rsidRPr="001F0712">
        <w:rPr>
          <w:rFonts w:ascii="Arial" w:hAnsi="Arial" w:cs="Arial"/>
        </w:rPr>
        <w:t xml:space="preserve">anagers </w:t>
      </w:r>
      <w:r w:rsidR="00C005C6" w:rsidRPr="001F0712">
        <w:rPr>
          <w:rFonts w:ascii="Arial" w:hAnsi="Arial" w:cs="Arial"/>
        </w:rPr>
        <w:t xml:space="preserve">(Grey Book) </w:t>
      </w:r>
      <w:r w:rsidRPr="001F0712">
        <w:rPr>
          <w:rFonts w:ascii="Arial" w:hAnsi="Arial" w:cs="Arial"/>
        </w:rPr>
        <w:t xml:space="preserve">x </w:t>
      </w:r>
      <w:r w:rsidR="00C005C6" w:rsidRPr="001F0712">
        <w:rPr>
          <w:rFonts w:ascii="Arial" w:hAnsi="Arial" w:cs="Arial"/>
        </w:rPr>
        <w:t>4</w:t>
      </w:r>
    </w:p>
    <w:p w14:paraId="4FA8D95A" w14:textId="6A4E6A02" w:rsidR="005A73F6" w:rsidRPr="001F0712" w:rsidRDefault="005A73F6" w:rsidP="002B681F">
      <w:pPr>
        <w:numPr>
          <w:ilvl w:val="1"/>
          <w:numId w:val="15"/>
        </w:numPr>
        <w:ind w:left="1701"/>
        <w:rPr>
          <w:rFonts w:ascii="Arial" w:hAnsi="Arial" w:cs="Arial"/>
        </w:rPr>
      </w:pPr>
      <w:r w:rsidRPr="001F0712">
        <w:rPr>
          <w:rFonts w:ascii="Arial" w:hAnsi="Arial" w:cs="Arial"/>
        </w:rPr>
        <w:t xml:space="preserve">Directors </w:t>
      </w:r>
      <w:r w:rsidR="00C005C6" w:rsidRPr="001F0712">
        <w:rPr>
          <w:rFonts w:ascii="Arial" w:hAnsi="Arial" w:cs="Arial"/>
        </w:rPr>
        <w:t xml:space="preserve">(Green Book) </w:t>
      </w:r>
      <w:r w:rsidRPr="001F0712">
        <w:rPr>
          <w:rFonts w:ascii="Arial" w:hAnsi="Arial" w:cs="Arial"/>
        </w:rPr>
        <w:t xml:space="preserve">x </w:t>
      </w:r>
      <w:r w:rsidR="00C005C6" w:rsidRPr="001F0712">
        <w:rPr>
          <w:rFonts w:ascii="Arial" w:hAnsi="Arial" w:cs="Arial"/>
        </w:rPr>
        <w:t>2</w:t>
      </w:r>
    </w:p>
    <w:p w14:paraId="0AC3A0A1" w14:textId="2661AC14" w:rsidR="005A73F6" w:rsidRPr="001F0712" w:rsidRDefault="005A73F6" w:rsidP="002B681F">
      <w:pPr>
        <w:numPr>
          <w:ilvl w:val="1"/>
          <w:numId w:val="15"/>
        </w:numPr>
        <w:ind w:left="1701"/>
        <w:rPr>
          <w:rFonts w:ascii="Arial" w:hAnsi="Arial" w:cs="Arial"/>
        </w:rPr>
      </w:pPr>
      <w:r w:rsidRPr="001F0712">
        <w:rPr>
          <w:rFonts w:ascii="Arial" w:hAnsi="Arial" w:cs="Arial"/>
        </w:rPr>
        <w:t xml:space="preserve">Head of Financial Services </w:t>
      </w:r>
      <w:r w:rsidR="00C005C6" w:rsidRPr="001F0712">
        <w:rPr>
          <w:rFonts w:ascii="Arial" w:hAnsi="Arial" w:cs="Arial"/>
        </w:rPr>
        <w:t xml:space="preserve">(Green Book) </w:t>
      </w:r>
      <w:r w:rsidRPr="001F0712">
        <w:rPr>
          <w:rFonts w:ascii="Arial" w:hAnsi="Arial" w:cs="Arial"/>
        </w:rPr>
        <w:t>x 1</w:t>
      </w:r>
    </w:p>
    <w:p w14:paraId="1355B669" w14:textId="7B5A6EE9" w:rsidR="00FE1C0B" w:rsidRPr="00BA0A47" w:rsidRDefault="00FE1C0B" w:rsidP="002B681F">
      <w:pPr>
        <w:numPr>
          <w:ilvl w:val="1"/>
          <w:numId w:val="15"/>
        </w:numPr>
        <w:ind w:left="1701"/>
        <w:rPr>
          <w:rFonts w:ascii="Arial" w:hAnsi="Arial" w:cs="Arial"/>
        </w:rPr>
      </w:pPr>
      <w:r w:rsidRPr="00BA0A47">
        <w:rPr>
          <w:rFonts w:ascii="Arial" w:hAnsi="Arial" w:cs="Arial"/>
        </w:rPr>
        <w:t>Head</w:t>
      </w:r>
      <w:r w:rsidR="00D04AE1" w:rsidRPr="00BA0A47">
        <w:rPr>
          <w:rFonts w:ascii="Arial" w:hAnsi="Arial" w:cs="Arial"/>
        </w:rPr>
        <w:t xml:space="preserve"> of Estates and Facilities (Green Book</w:t>
      </w:r>
      <w:r w:rsidR="007F78DE" w:rsidRPr="00BA0A47">
        <w:rPr>
          <w:rFonts w:ascii="Arial" w:hAnsi="Arial" w:cs="Arial"/>
        </w:rPr>
        <w:t>)</w:t>
      </w:r>
      <w:r w:rsidR="00D04AE1" w:rsidRPr="00BA0A47">
        <w:rPr>
          <w:rFonts w:ascii="Arial" w:hAnsi="Arial" w:cs="Arial"/>
        </w:rPr>
        <w:t xml:space="preserve"> x 1</w:t>
      </w:r>
    </w:p>
    <w:p w14:paraId="617AA519" w14:textId="77777777" w:rsidR="005A7346" w:rsidRPr="001F0712" w:rsidRDefault="005A7346" w:rsidP="005A7346">
      <w:pPr>
        <w:autoSpaceDE w:val="0"/>
        <w:autoSpaceDN w:val="0"/>
        <w:adjustRightInd w:val="0"/>
        <w:ind w:left="709"/>
        <w:rPr>
          <w:rFonts w:ascii="Arial" w:hAnsi="Arial" w:cs="Arial"/>
          <w:highlight w:val="yellow"/>
        </w:rPr>
      </w:pPr>
    </w:p>
    <w:p w14:paraId="58C757D9" w14:textId="37916DA0" w:rsidR="00CA34DE" w:rsidRPr="001F0712" w:rsidRDefault="005C5A09" w:rsidP="00C31FA3">
      <w:pPr>
        <w:pStyle w:val="Heading2"/>
        <w:numPr>
          <w:ilvl w:val="0"/>
          <w:numId w:val="0"/>
        </w:numPr>
        <w:ind w:left="709"/>
        <w:rPr>
          <w:rFonts w:cs="Arial"/>
        </w:rPr>
      </w:pPr>
      <w:bookmarkStart w:id="8" w:name="_Toc194319271"/>
      <w:r w:rsidRPr="001F0712">
        <w:rPr>
          <w:rFonts w:cs="Arial"/>
        </w:rPr>
        <w:t>Chief officers’ pay</w:t>
      </w:r>
      <w:r w:rsidR="00C10EAC">
        <w:rPr>
          <w:rFonts w:cs="Arial"/>
        </w:rPr>
        <w:t xml:space="preserve"> and benefits</w:t>
      </w:r>
      <w:bookmarkEnd w:id="8"/>
    </w:p>
    <w:p w14:paraId="0295A7A8" w14:textId="77777777" w:rsidR="003750CE" w:rsidRPr="001F0712" w:rsidRDefault="003750CE" w:rsidP="006E6B9D">
      <w:pPr>
        <w:numPr>
          <w:ilvl w:val="1"/>
          <w:numId w:val="1"/>
        </w:numPr>
        <w:ind w:left="709" w:right="-483" w:hanging="709"/>
        <w:rPr>
          <w:rFonts w:ascii="Arial" w:hAnsi="Arial" w:cs="Arial"/>
        </w:rPr>
      </w:pPr>
      <w:r w:rsidRPr="001F0712">
        <w:rPr>
          <w:rFonts w:ascii="Arial" w:hAnsi="Arial" w:cs="Arial"/>
        </w:rPr>
        <w:t>The following officers</w:t>
      </w:r>
      <w:r w:rsidR="00070540" w:rsidRPr="001F0712">
        <w:rPr>
          <w:rFonts w:ascii="Arial" w:hAnsi="Arial" w:cs="Arial"/>
        </w:rPr>
        <w:t xml:space="preserve"> </w:t>
      </w:r>
      <w:r w:rsidRPr="001F0712">
        <w:rPr>
          <w:rFonts w:ascii="Arial" w:hAnsi="Arial" w:cs="Arial"/>
        </w:rPr>
        <w:t>are covered within this pay</w:t>
      </w:r>
      <w:r w:rsidR="009F5BF3" w:rsidRPr="001F0712">
        <w:rPr>
          <w:rFonts w:ascii="Arial" w:hAnsi="Arial" w:cs="Arial"/>
        </w:rPr>
        <w:t xml:space="preserve"> </w:t>
      </w:r>
      <w:r w:rsidRPr="001F0712">
        <w:rPr>
          <w:rFonts w:ascii="Arial" w:hAnsi="Arial" w:cs="Arial"/>
        </w:rPr>
        <w:t>policy statement:</w:t>
      </w:r>
    </w:p>
    <w:p w14:paraId="424D8537" w14:textId="77777777" w:rsidR="009F5BF3" w:rsidRPr="001F0712" w:rsidRDefault="009F5BF3" w:rsidP="001F16C7">
      <w:pPr>
        <w:autoSpaceDE w:val="0"/>
        <w:autoSpaceDN w:val="0"/>
        <w:adjustRightInd w:val="0"/>
        <w:ind w:left="709"/>
        <w:rPr>
          <w:rFonts w:ascii="Arial" w:hAnsi="Arial" w:cs="Arial"/>
          <w:sz w:val="14"/>
          <w:szCs w:val="14"/>
        </w:rPr>
      </w:pPr>
    </w:p>
    <w:p w14:paraId="32FC56C4" w14:textId="58A9D6C8" w:rsidR="00070540" w:rsidRPr="001F0712" w:rsidRDefault="00267D3E" w:rsidP="006E6B9D">
      <w:pPr>
        <w:pStyle w:val="ListParagraph"/>
        <w:numPr>
          <w:ilvl w:val="0"/>
          <w:numId w:val="18"/>
        </w:numPr>
        <w:ind w:right="-483"/>
        <w:rPr>
          <w:rFonts w:ascii="Arial" w:hAnsi="Arial" w:cs="Arial"/>
        </w:rPr>
      </w:pPr>
      <w:r w:rsidRPr="006E6B9D">
        <w:rPr>
          <w:rFonts w:ascii="Arial" w:hAnsi="Arial" w:cs="Arial"/>
        </w:rPr>
        <w:t xml:space="preserve">Chief Fire Officer </w:t>
      </w:r>
      <w:r w:rsidR="00481A07" w:rsidRPr="006E6B9D">
        <w:rPr>
          <w:rFonts w:ascii="Arial" w:hAnsi="Arial" w:cs="Arial"/>
        </w:rPr>
        <w:t xml:space="preserve">and </w:t>
      </w:r>
      <w:r w:rsidRPr="006E6B9D">
        <w:rPr>
          <w:rFonts w:ascii="Arial" w:hAnsi="Arial" w:cs="Arial"/>
        </w:rPr>
        <w:t xml:space="preserve">Chief Executive </w:t>
      </w:r>
      <w:r w:rsidR="00763542" w:rsidRPr="006E6B9D">
        <w:rPr>
          <w:rFonts w:ascii="Arial" w:hAnsi="Arial" w:cs="Arial"/>
        </w:rPr>
        <w:t xml:space="preserve">/ </w:t>
      </w:r>
      <w:r w:rsidR="00481A07" w:rsidRPr="006E6B9D">
        <w:rPr>
          <w:rFonts w:ascii="Arial" w:hAnsi="Arial" w:cs="Arial"/>
        </w:rPr>
        <w:t>Clerk to the Authority</w:t>
      </w:r>
    </w:p>
    <w:p w14:paraId="15996822" w14:textId="77777777" w:rsidR="00EA761A" w:rsidRPr="001F0712" w:rsidRDefault="00EA761A" w:rsidP="006E6B9D">
      <w:pPr>
        <w:pStyle w:val="ListParagraph"/>
        <w:numPr>
          <w:ilvl w:val="0"/>
          <w:numId w:val="18"/>
        </w:numPr>
        <w:ind w:right="-483"/>
        <w:rPr>
          <w:rFonts w:ascii="Arial" w:hAnsi="Arial" w:cs="Arial"/>
        </w:rPr>
      </w:pPr>
      <w:r w:rsidRPr="001F0712">
        <w:rPr>
          <w:rFonts w:ascii="Arial" w:hAnsi="Arial" w:cs="Arial"/>
        </w:rPr>
        <w:t>Deputy Chief Fire Officer</w:t>
      </w:r>
    </w:p>
    <w:p w14:paraId="393CAC68" w14:textId="77777777" w:rsidR="00070540" w:rsidRPr="001F0712" w:rsidRDefault="00070540" w:rsidP="006E6B9D">
      <w:pPr>
        <w:pStyle w:val="ListParagraph"/>
        <w:numPr>
          <w:ilvl w:val="0"/>
          <w:numId w:val="18"/>
        </w:numPr>
        <w:ind w:right="-483"/>
        <w:rPr>
          <w:rFonts w:ascii="Arial" w:hAnsi="Arial" w:cs="Arial"/>
        </w:rPr>
      </w:pPr>
      <w:r w:rsidRPr="001F0712">
        <w:rPr>
          <w:rFonts w:ascii="Arial" w:hAnsi="Arial" w:cs="Arial"/>
        </w:rPr>
        <w:t>Assistant Chief Fire Officer</w:t>
      </w:r>
    </w:p>
    <w:p w14:paraId="38EBCE77" w14:textId="683C53CA" w:rsidR="00070540" w:rsidRPr="001F0712" w:rsidRDefault="00763542" w:rsidP="006E6B9D">
      <w:pPr>
        <w:pStyle w:val="ListParagraph"/>
        <w:numPr>
          <w:ilvl w:val="0"/>
          <w:numId w:val="18"/>
        </w:numPr>
        <w:ind w:right="-483"/>
        <w:rPr>
          <w:rFonts w:ascii="Arial" w:hAnsi="Arial" w:cs="Arial"/>
        </w:rPr>
      </w:pPr>
      <w:r w:rsidRPr="001F0712">
        <w:rPr>
          <w:rFonts w:ascii="Arial" w:hAnsi="Arial" w:cs="Arial"/>
        </w:rPr>
        <w:t>Director of Finance, Estates and Facilities</w:t>
      </w:r>
    </w:p>
    <w:p w14:paraId="2F70B0B3" w14:textId="3C26BAB1" w:rsidR="00763542" w:rsidRPr="001F0712" w:rsidRDefault="00763542" w:rsidP="006E6B9D">
      <w:pPr>
        <w:pStyle w:val="ListParagraph"/>
        <w:numPr>
          <w:ilvl w:val="0"/>
          <w:numId w:val="18"/>
        </w:numPr>
        <w:ind w:right="-483"/>
        <w:rPr>
          <w:rFonts w:ascii="Arial" w:hAnsi="Arial" w:cs="Arial"/>
        </w:rPr>
      </w:pPr>
      <w:r w:rsidRPr="001F0712">
        <w:rPr>
          <w:rFonts w:ascii="Arial" w:hAnsi="Arial" w:cs="Arial"/>
        </w:rPr>
        <w:t>Area managers</w:t>
      </w:r>
    </w:p>
    <w:p w14:paraId="67D306D4" w14:textId="4117BF01" w:rsidR="00763542" w:rsidRPr="001F0712" w:rsidRDefault="00763542" w:rsidP="006E6B9D">
      <w:pPr>
        <w:pStyle w:val="ListParagraph"/>
        <w:numPr>
          <w:ilvl w:val="0"/>
          <w:numId w:val="18"/>
        </w:numPr>
        <w:ind w:right="-483"/>
        <w:rPr>
          <w:rFonts w:ascii="Arial" w:hAnsi="Arial" w:cs="Arial"/>
        </w:rPr>
      </w:pPr>
      <w:r w:rsidRPr="001F0712">
        <w:rPr>
          <w:rFonts w:ascii="Arial" w:hAnsi="Arial" w:cs="Arial"/>
        </w:rPr>
        <w:t>Directors</w:t>
      </w:r>
    </w:p>
    <w:p w14:paraId="18309D03" w14:textId="47E07724" w:rsidR="00D06C38" w:rsidRPr="001F0712" w:rsidRDefault="00D06C38" w:rsidP="006E6B9D">
      <w:pPr>
        <w:pStyle w:val="ListParagraph"/>
        <w:numPr>
          <w:ilvl w:val="0"/>
          <w:numId w:val="18"/>
        </w:numPr>
        <w:ind w:right="-483"/>
        <w:rPr>
          <w:rFonts w:ascii="Arial" w:hAnsi="Arial" w:cs="Arial"/>
        </w:rPr>
      </w:pPr>
      <w:r w:rsidRPr="001F0712">
        <w:rPr>
          <w:rFonts w:ascii="Arial" w:hAnsi="Arial" w:cs="Arial"/>
        </w:rPr>
        <w:t>Heads of service</w:t>
      </w:r>
    </w:p>
    <w:p w14:paraId="642B5CC5" w14:textId="77777777" w:rsidR="00763542" w:rsidRPr="001F0712" w:rsidRDefault="00763542" w:rsidP="00070540">
      <w:pPr>
        <w:rPr>
          <w:rFonts w:ascii="Arial" w:hAnsi="Arial" w:cs="Arial"/>
        </w:rPr>
      </w:pPr>
    </w:p>
    <w:p w14:paraId="495C813F" w14:textId="2FCE9C55" w:rsidR="00070540" w:rsidRPr="001F0712" w:rsidRDefault="00B06035" w:rsidP="006E6B9D">
      <w:pPr>
        <w:numPr>
          <w:ilvl w:val="1"/>
          <w:numId w:val="1"/>
        </w:numPr>
        <w:ind w:left="709" w:right="-483" w:hanging="709"/>
        <w:rPr>
          <w:rFonts w:ascii="Arial" w:hAnsi="Arial" w:cs="Arial"/>
        </w:rPr>
      </w:pPr>
      <w:r w:rsidRPr="001F0712">
        <w:rPr>
          <w:rFonts w:ascii="Arial" w:hAnsi="Arial" w:cs="Arial"/>
        </w:rPr>
        <w:t xml:space="preserve">The Authority has, over </w:t>
      </w:r>
      <w:proofErr w:type="gramStart"/>
      <w:r w:rsidRPr="001F0712">
        <w:rPr>
          <w:rFonts w:ascii="Arial" w:hAnsi="Arial" w:cs="Arial"/>
        </w:rPr>
        <w:t>a number of</w:t>
      </w:r>
      <w:proofErr w:type="gramEnd"/>
      <w:r w:rsidRPr="001F0712">
        <w:rPr>
          <w:rFonts w:ascii="Arial" w:hAnsi="Arial" w:cs="Arial"/>
        </w:rPr>
        <w:t xml:space="preserve"> years, operated within a</w:t>
      </w:r>
      <w:r w:rsidR="00763542" w:rsidRPr="001F0712">
        <w:rPr>
          <w:rFonts w:ascii="Arial" w:hAnsi="Arial" w:cs="Arial"/>
        </w:rPr>
        <w:t>n</w:t>
      </w:r>
      <w:r w:rsidRPr="001F0712">
        <w:rPr>
          <w:rFonts w:ascii="Arial" w:hAnsi="Arial" w:cs="Arial"/>
        </w:rPr>
        <w:t xml:space="preserve"> arrangement </w:t>
      </w:r>
      <w:r w:rsidR="00763542" w:rsidRPr="001F0712">
        <w:rPr>
          <w:rFonts w:ascii="Arial" w:hAnsi="Arial" w:cs="Arial"/>
        </w:rPr>
        <w:t>whereby</w:t>
      </w:r>
      <w:r w:rsidR="00F85BB9" w:rsidRPr="001F0712">
        <w:rPr>
          <w:rFonts w:ascii="Arial" w:hAnsi="Arial" w:cs="Arial"/>
        </w:rPr>
        <w:t xml:space="preserve"> </w:t>
      </w:r>
      <w:r w:rsidRPr="001F0712">
        <w:rPr>
          <w:rFonts w:ascii="Arial" w:hAnsi="Arial" w:cs="Arial"/>
        </w:rPr>
        <w:t xml:space="preserve">the Monitoring Officer </w:t>
      </w:r>
      <w:r w:rsidR="00573CAC" w:rsidRPr="001F0712">
        <w:rPr>
          <w:rFonts w:ascii="Arial" w:hAnsi="Arial" w:cs="Arial"/>
        </w:rPr>
        <w:t xml:space="preserve">and Deputy Clerk </w:t>
      </w:r>
      <w:r w:rsidRPr="001F0712">
        <w:rPr>
          <w:rFonts w:ascii="Arial" w:hAnsi="Arial" w:cs="Arial"/>
        </w:rPr>
        <w:t>role</w:t>
      </w:r>
      <w:r w:rsidR="00763542" w:rsidRPr="001F0712">
        <w:rPr>
          <w:rFonts w:ascii="Arial" w:hAnsi="Arial" w:cs="Arial"/>
        </w:rPr>
        <w:t>s</w:t>
      </w:r>
      <w:r w:rsidRPr="001F0712">
        <w:rPr>
          <w:rFonts w:ascii="Arial" w:hAnsi="Arial" w:cs="Arial"/>
        </w:rPr>
        <w:t xml:space="preserve"> </w:t>
      </w:r>
      <w:r w:rsidR="00763542" w:rsidRPr="001F0712">
        <w:rPr>
          <w:rFonts w:ascii="Arial" w:hAnsi="Arial" w:cs="Arial"/>
        </w:rPr>
        <w:t>are</w:t>
      </w:r>
      <w:r w:rsidRPr="001F0712">
        <w:rPr>
          <w:rFonts w:ascii="Arial" w:hAnsi="Arial" w:cs="Arial"/>
        </w:rPr>
        <w:t xml:space="preserve"> provided through </w:t>
      </w:r>
      <w:r w:rsidR="00724056" w:rsidRPr="001F0712">
        <w:rPr>
          <w:rFonts w:ascii="Arial" w:hAnsi="Arial" w:cs="Arial"/>
        </w:rPr>
        <w:t xml:space="preserve">a </w:t>
      </w:r>
      <w:r w:rsidRPr="001F0712">
        <w:rPr>
          <w:rFonts w:ascii="Arial" w:hAnsi="Arial" w:cs="Arial"/>
        </w:rPr>
        <w:t>Service Level Agreement</w:t>
      </w:r>
      <w:r w:rsidR="00763542" w:rsidRPr="001F0712">
        <w:rPr>
          <w:rFonts w:ascii="Arial" w:hAnsi="Arial" w:cs="Arial"/>
        </w:rPr>
        <w:t xml:space="preserve"> with Sunderland City Council</w:t>
      </w:r>
      <w:r w:rsidRPr="001F0712">
        <w:rPr>
          <w:rFonts w:ascii="Arial" w:hAnsi="Arial" w:cs="Arial"/>
        </w:rPr>
        <w:t>.  As the individual who fulfil</w:t>
      </w:r>
      <w:r w:rsidR="00724056" w:rsidRPr="001F0712">
        <w:rPr>
          <w:rFonts w:ascii="Arial" w:hAnsi="Arial" w:cs="Arial"/>
        </w:rPr>
        <w:t>s</w:t>
      </w:r>
      <w:r w:rsidRPr="001F0712">
        <w:rPr>
          <w:rFonts w:ascii="Arial" w:hAnsi="Arial" w:cs="Arial"/>
        </w:rPr>
        <w:t xml:space="preserve"> th</w:t>
      </w:r>
      <w:r w:rsidR="00573CAC" w:rsidRPr="001F0712">
        <w:rPr>
          <w:rFonts w:ascii="Arial" w:hAnsi="Arial" w:cs="Arial"/>
        </w:rPr>
        <w:t>ese</w:t>
      </w:r>
      <w:r w:rsidRPr="001F0712">
        <w:rPr>
          <w:rFonts w:ascii="Arial" w:hAnsi="Arial" w:cs="Arial"/>
        </w:rPr>
        <w:t xml:space="preserve"> role</w:t>
      </w:r>
      <w:r w:rsidR="00573CAC" w:rsidRPr="001F0712">
        <w:rPr>
          <w:rFonts w:ascii="Arial" w:hAnsi="Arial" w:cs="Arial"/>
        </w:rPr>
        <w:t>s</w:t>
      </w:r>
      <w:r w:rsidRPr="001F0712">
        <w:rPr>
          <w:rFonts w:ascii="Arial" w:hAnsi="Arial" w:cs="Arial"/>
        </w:rPr>
        <w:t xml:space="preserve"> for the Authority is not employed by the Authority, </w:t>
      </w:r>
      <w:r w:rsidR="008230FB" w:rsidRPr="001F0712">
        <w:rPr>
          <w:rFonts w:ascii="Arial" w:hAnsi="Arial" w:cs="Arial"/>
        </w:rPr>
        <w:t>their</w:t>
      </w:r>
      <w:r w:rsidRPr="001F0712">
        <w:rPr>
          <w:rFonts w:ascii="Arial" w:hAnsi="Arial" w:cs="Arial"/>
        </w:rPr>
        <w:t xml:space="preserve"> pay is not covered </w:t>
      </w:r>
      <w:r w:rsidR="00F85BB9" w:rsidRPr="001F0712">
        <w:rPr>
          <w:rFonts w:ascii="Arial" w:hAnsi="Arial" w:cs="Arial"/>
        </w:rPr>
        <w:t xml:space="preserve">within this </w:t>
      </w:r>
      <w:r w:rsidR="00763542" w:rsidRPr="001F0712">
        <w:rPr>
          <w:rFonts w:ascii="Arial" w:hAnsi="Arial" w:cs="Arial"/>
        </w:rPr>
        <w:t>p</w:t>
      </w:r>
      <w:r w:rsidR="00F85BB9" w:rsidRPr="001F0712">
        <w:rPr>
          <w:rFonts w:ascii="Arial" w:hAnsi="Arial" w:cs="Arial"/>
        </w:rPr>
        <w:t xml:space="preserve">olicy document </w:t>
      </w:r>
      <w:r w:rsidRPr="001F0712">
        <w:rPr>
          <w:rFonts w:ascii="Arial" w:hAnsi="Arial" w:cs="Arial"/>
        </w:rPr>
        <w:t xml:space="preserve">but may be found in the </w:t>
      </w:r>
      <w:r w:rsidR="00763542" w:rsidRPr="001F0712">
        <w:rPr>
          <w:rFonts w:ascii="Arial" w:hAnsi="Arial" w:cs="Arial"/>
        </w:rPr>
        <w:t xml:space="preserve">Pay </w:t>
      </w:r>
      <w:r w:rsidR="00F85BB9" w:rsidRPr="001F0712">
        <w:rPr>
          <w:rFonts w:ascii="Arial" w:hAnsi="Arial" w:cs="Arial"/>
        </w:rPr>
        <w:t>P</w:t>
      </w:r>
      <w:r w:rsidRPr="001F0712">
        <w:rPr>
          <w:rFonts w:ascii="Arial" w:hAnsi="Arial" w:cs="Arial"/>
        </w:rPr>
        <w:t xml:space="preserve">olicy </w:t>
      </w:r>
      <w:r w:rsidR="00763542" w:rsidRPr="001F0712">
        <w:rPr>
          <w:rFonts w:ascii="Arial" w:hAnsi="Arial" w:cs="Arial"/>
        </w:rPr>
        <w:t xml:space="preserve">Statement </w:t>
      </w:r>
      <w:r w:rsidRPr="001F0712">
        <w:rPr>
          <w:rFonts w:ascii="Arial" w:hAnsi="Arial" w:cs="Arial"/>
        </w:rPr>
        <w:t>of</w:t>
      </w:r>
      <w:r w:rsidR="00F85BB9" w:rsidRPr="001F0712">
        <w:rPr>
          <w:rFonts w:ascii="Arial" w:hAnsi="Arial" w:cs="Arial"/>
        </w:rPr>
        <w:t xml:space="preserve"> </w:t>
      </w:r>
      <w:r w:rsidR="008230FB" w:rsidRPr="001F0712">
        <w:rPr>
          <w:rFonts w:ascii="Arial" w:hAnsi="Arial" w:cs="Arial"/>
        </w:rPr>
        <w:t>t</w:t>
      </w:r>
      <w:r w:rsidR="00F85BB9" w:rsidRPr="001F0712">
        <w:rPr>
          <w:rFonts w:ascii="Arial" w:hAnsi="Arial" w:cs="Arial"/>
        </w:rPr>
        <w:t>he</w:t>
      </w:r>
      <w:r w:rsidR="008230FB" w:rsidRPr="001F0712">
        <w:rPr>
          <w:rFonts w:ascii="Arial" w:hAnsi="Arial" w:cs="Arial"/>
        </w:rPr>
        <w:t>i</w:t>
      </w:r>
      <w:r w:rsidR="00F85BB9" w:rsidRPr="001F0712">
        <w:rPr>
          <w:rFonts w:ascii="Arial" w:hAnsi="Arial" w:cs="Arial"/>
        </w:rPr>
        <w:t>r</w:t>
      </w:r>
      <w:r w:rsidRPr="001F0712">
        <w:rPr>
          <w:rFonts w:ascii="Arial" w:hAnsi="Arial" w:cs="Arial"/>
        </w:rPr>
        <w:t xml:space="preserve"> employer.  </w:t>
      </w:r>
    </w:p>
    <w:p w14:paraId="7CD73BCE" w14:textId="77777777" w:rsidR="00070540" w:rsidRPr="001F0712" w:rsidRDefault="00070540" w:rsidP="00724056">
      <w:pPr>
        <w:autoSpaceDE w:val="0"/>
        <w:autoSpaceDN w:val="0"/>
        <w:adjustRightInd w:val="0"/>
        <w:rPr>
          <w:rFonts w:ascii="Arial" w:hAnsi="Arial" w:cs="Arial"/>
        </w:rPr>
      </w:pPr>
    </w:p>
    <w:p w14:paraId="148FAC5F" w14:textId="6C90985A" w:rsidR="00DB4EF0" w:rsidRPr="001F0712" w:rsidRDefault="00ED1B95" w:rsidP="006E6B9D">
      <w:pPr>
        <w:numPr>
          <w:ilvl w:val="1"/>
          <w:numId w:val="1"/>
        </w:numPr>
        <w:ind w:left="709" w:right="-483" w:hanging="709"/>
        <w:rPr>
          <w:rFonts w:ascii="Arial" w:hAnsi="Arial" w:cs="Arial"/>
        </w:rPr>
      </w:pPr>
      <w:r w:rsidRPr="001F0712">
        <w:rPr>
          <w:rFonts w:ascii="Arial" w:hAnsi="Arial" w:cs="Arial"/>
        </w:rPr>
        <w:t xml:space="preserve">The pay details of all </w:t>
      </w:r>
      <w:r w:rsidR="00DB4EF0" w:rsidRPr="001F0712">
        <w:rPr>
          <w:rFonts w:ascii="Arial" w:hAnsi="Arial" w:cs="Arial"/>
        </w:rPr>
        <w:t xml:space="preserve">chief officers </w:t>
      </w:r>
      <w:proofErr w:type="gramStart"/>
      <w:r w:rsidR="00DB4EF0" w:rsidRPr="001F0712">
        <w:rPr>
          <w:rFonts w:ascii="Arial" w:hAnsi="Arial" w:cs="Arial"/>
        </w:rPr>
        <w:t>is</w:t>
      </w:r>
      <w:proofErr w:type="gramEnd"/>
      <w:r w:rsidR="00DB4EF0" w:rsidRPr="001F0712">
        <w:rPr>
          <w:rFonts w:ascii="Arial" w:hAnsi="Arial" w:cs="Arial"/>
        </w:rPr>
        <w:t xml:space="preserve"> </w:t>
      </w:r>
      <w:r w:rsidR="005E48F7" w:rsidRPr="001F0712">
        <w:rPr>
          <w:rFonts w:ascii="Arial" w:hAnsi="Arial" w:cs="Arial"/>
        </w:rPr>
        <w:t xml:space="preserve">set out in </w:t>
      </w:r>
      <w:r w:rsidR="005E48F7" w:rsidRPr="002F7A27">
        <w:rPr>
          <w:rFonts w:ascii="Arial" w:hAnsi="Arial" w:cs="Arial"/>
        </w:rPr>
        <w:t xml:space="preserve">Annex </w:t>
      </w:r>
      <w:r w:rsidR="002F7A27">
        <w:rPr>
          <w:rFonts w:ascii="Arial" w:hAnsi="Arial" w:cs="Arial"/>
        </w:rPr>
        <w:t>4</w:t>
      </w:r>
      <w:r w:rsidR="00A22B6C" w:rsidRPr="001F0712">
        <w:rPr>
          <w:rFonts w:ascii="Arial" w:hAnsi="Arial" w:cs="Arial"/>
        </w:rPr>
        <w:t>, noting that 2025/26 pay awards are pending at the time of publication</w:t>
      </w:r>
      <w:r w:rsidR="005E48F7" w:rsidRPr="001F0712">
        <w:rPr>
          <w:rFonts w:ascii="Arial" w:hAnsi="Arial" w:cs="Arial"/>
        </w:rPr>
        <w:t>.</w:t>
      </w:r>
    </w:p>
    <w:p w14:paraId="6A93EAC2" w14:textId="77777777" w:rsidR="00B06035" w:rsidRPr="001F0712" w:rsidRDefault="00B06035" w:rsidP="00724056">
      <w:pPr>
        <w:rPr>
          <w:rFonts w:ascii="Arial" w:hAnsi="Arial" w:cs="Arial"/>
          <w:highlight w:val="yellow"/>
        </w:rPr>
      </w:pPr>
    </w:p>
    <w:p w14:paraId="47A20851" w14:textId="1FB86F05" w:rsidR="00B06035" w:rsidRPr="001F0712" w:rsidRDefault="00B06035" w:rsidP="006E6B9D">
      <w:pPr>
        <w:numPr>
          <w:ilvl w:val="1"/>
          <w:numId w:val="1"/>
        </w:numPr>
        <w:ind w:left="709" w:right="-483" w:hanging="709"/>
        <w:rPr>
          <w:rFonts w:ascii="Arial" w:hAnsi="Arial" w:cs="Arial"/>
        </w:rPr>
      </w:pPr>
      <w:r w:rsidRPr="001F0712">
        <w:rPr>
          <w:rFonts w:ascii="Arial" w:hAnsi="Arial" w:cs="Arial"/>
        </w:rPr>
        <w:t>The Chief Fire Officer’s pay is reviewed taking into consideration market factors, the NJC relevant minimum salary levels for the population band covered, and relevant benchmark data. This figure is uplifted for any annual pay increases published by the NJC.</w:t>
      </w:r>
    </w:p>
    <w:p w14:paraId="2E25DE39" w14:textId="77777777" w:rsidR="001128DF" w:rsidRPr="001F0712" w:rsidRDefault="001128DF" w:rsidP="001128DF">
      <w:pPr>
        <w:pStyle w:val="ListParagraph"/>
        <w:rPr>
          <w:rFonts w:ascii="Arial" w:hAnsi="Arial" w:cs="Arial"/>
          <w:highlight w:val="yellow"/>
        </w:rPr>
      </w:pPr>
    </w:p>
    <w:p w14:paraId="7DCAFF87" w14:textId="0063A993" w:rsidR="001128DF" w:rsidRPr="001F0712" w:rsidRDefault="001128DF" w:rsidP="006E6B9D">
      <w:pPr>
        <w:numPr>
          <w:ilvl w:val="1"/>
          <w:numId w:val="1"/>
        </w:numPr>
        <w:ind w:left="709" w:right="-483" w:hanging="709"/>
        <w:rPr>
          <w:rFonts w:ascii="Arial" w:hAnsi="Arial" w:cs="Arial"/>
        </w:rPr>
      </w:pPr>
      <w:r w:rsidRPr="001F0712">
        <w:rPr>
          <w:rFonts w:ascii="Arial" w:hAnsi="Arial" w:cs="Arial"/>
        </w:rPr>
        <w:t>The Chief Fire Officer</w:t>
      </w:r>
      <w:r w:rsidR="00EA761A" w:rsidRPr="001F0712">
        <w:rPr>
          <w:rFonts w:ascii="Arial" w:hAnsi="Arial" w:cs="Arial"/>
        </w:rPr>
        <w:t>, Deputy Chief Fire Officer</w:t>
      </w:r>
      <w:r w:rsidRPr="001F0712">
        <w:rPr>
          <w:rFonts w:ascii="Arial" w:hAnsi="Arial" w:cs="Arial"/>
        </w:rPr>
        <w:t xml:space="preserve"> and Assistant Chief </w:t>
      </w:r>
      <w:r w:rsidR="00481A07" w:rsidRPr="001F0712">
        <w:rPr>
          <w:rFonts w:ascii="Arial" w:hAnsi="Arial" w:cs="Arial"/>
        </w:rPr>
        <w:t xml:space="preserve">Fire </w:t>
      </w:r>
      <w:r w:rsidR="001A1E96" w:rsidRPr="001F0712">
        <w:rPr>
          <w:rFonts w:ascii="Arial" w:hAnsi="Arial" w:cs="Arial"/>
        </w:rPr>
        <w:t>Officer</w:t>
      </w:r>
      <w:r w:rsidRPr="001F0712">
        <w:rPr>
          <w:rFonts w:ascii="Arial" w:hAnsi="Arial" w:cs="Arial"/>
        </w:rPr>
        <w:t xml:space="preserve"> were awarded a </w:t>
      </w:r>
      <w:r w:rsidR="00146579">
        <w:rPr>
          <w:rFonts w:ascii="Arial" w:hAnsi="Arial" w:cs="Arial"/>
        </w:rPr>
        <w:t>4</w:t>
      </w:r>
      <w:r w:rsidR="00B3717D" w:rsidRPr="001F0712">
        <w:rPr>
          <w:rFonts w:ascii="Arial" w:hAnsi="Arial" w:cs="Arial"/>
        </w:rPr>
        <w:t xml:space="preserve">%, </w:t>
      </w:r>
      <w:r w:rsidR="00CE4400">
        <w:rPr>
          <w:rFonts w:ascii="Arial" w:hAnsi="Arial" w:cs="Arial"/>
        </w:rPr>
        <w:t>3.</w:t>
      </w:r>
      <w:r w:rsidR="00BD0E5B" w:rsidRPr="001F0712">
        <w:rPr>
          <w:rFonts w:ascii="Arial" w:hAnsi="Arial" w:cs="Arial"/>
        </w:rPr>
        <w:t>5</w:t>
      </w:r>
      <w:r w:rsidRPr="001F0712">
        <w:rPr>
          <w:rFonts w:ascii="Arial" w:hAnsi="Arial" w:cs="Arial"/>
        </w:rPr>
        <w:t xml:space="preserve">% </w:t>
      </w:r>
      <w:r w:rsidR="00B3717D" w:rsidRPr="001F0712">
        <w:rPr>
          <w:rFonts w:ascii="Arial" w:hAnsi="Arial" w:cs="Arial"/>
        </w:rPr>
        <w:t>a</w:t>
      </w:r>
      <w:r w:rsidR="00CF4FAB" w:rsidRPr="001F0712">
        <w:rPr>
          <w:rFonts w:ascii="Arial" w:hAnsi="Arial" w:cs="Arial"/>
        </w:rPr>
        <w:t>nd 3%</w:t>
      </w:r>
      <w:r w:rsidR="00B3717D" w:rsidRPr="001F0712">
        <w:rPr>
          <w:rFonts w:ascii="Arial" w:hAnsi="Arial" w:cs="Arial"/>
        </w:rPr>
        <w:t xml:space="preserve"> </w:t>
      </w:r>
      <w:r w:rsidRPr="001F0712">
        <w:rPr>
          <w:rFonts w:ascii="Arial" w:hAnsi="Arial" w:cs="Arial"/>
        </w:rPr>
        <w:t xml:space="preserve">pay award </w:t>
      </w:r>
      <w:r w:rsidR="00ED318E" w:rsidRPr="001F0712">
        <w:rPr>
          <w:rFonts w:ascii="Arial" w:hAnsi="Arial" w:cs="Arial"/>
        </w:rPr>
        <w:t xml:space="preserve">with effect from </w:t>
      </w:r>
      <w:r w:rsidR="00B3717D" w:rsidRPr="001F0712">
        <w:rPr>
          <w:rFonts w:ascii="Arial" w:hAnsi="Arial" w:cs="Arial"/>
        </w:rPr>
        <w:t xml:space="preserve">1 January 2022, 1 January 2023 and </w:t>
      </w:r>
      <w:r w:rsidRPr="001F0712">
        <w:rPr>
          <w:rFonts w:ascii="Arial" w:hAnsi="Arial" w:cs="Arial"/>
        </w:rPr>
        <w:t xml:space="preserve">1 </w:t>
      </w:r>
      <w:r w:rsidR="00ED318E" w:rsidRPr="001F0712">
        <w:rPr>
          <w:rFonts w:ascii="Arial" w:hAnsi="Arial" w:cs="Arial"/>
        </w:rPr>
        <w:t xml:space="preserve">January </w:t>
      </w:r>
      <w:r w:rsidR="00EA761A" w:rsidRPr="001F0712">
        <w:rPr>
          <w:rFonts w:ascii="Arial" w:hAnsi="Arial" w:cs="Arial"/>
        </w:rPr>
        <w:t>202</w:t>
      </w:r>
      <w:r w:rsidR="00B3717D" w:rsidRPr="001F0712">
        <w:rPr>
          <w:rFonts w:ascii="Arial" w:hAnsi="Arial" w:cs="Arial"/>
        </w:rPr>
        <w:t>4 respectively</w:t>
      </w:r>
      <w:r w:rsidR="00377B44" w:rsidRPr="001F0712">
        <w:rPr>
          <w:rFonts w:ascii="Arial" w:hAnsi="Arial" w:cs="Arial"/>
        </w:rPr>
        <w:t xml:space="preserve"> (agreed nationally</w:t>
      </w:r>
      <w:r w:rsidR="00765956" w:rsidRPr="001F0712">
        <w:rPr>
          <w:rFonts w:ascii="Arial" w:hAnsi="Arial" w:cs="Arial"/>
        </w:rPr>
        <w:t xml:space="preserve"> by the NJC</w:t>
      </w:r>
      <w:r w:rsidR="00377B44" w:rsidRPr="001F0712">
        <w:rPr>
          <w:rFonts w:ascii="Arial" w:hAnsi="Arial" w:cs="Arial"/>
        </w:rPr>
        <w:t>)</w:t>
      </w:r>
      <w:r w:rsidR="00ED318E" w:rsidRPr="001F0712">
        <w:rPr>
          <w:rFonts w:ascii="Arial" w:hAnsi="Arial" w:cs="Arial"/>
        </w:rPr>
        <w:t>.</w:t>
      </w:r>
      <w:r w:rsidR="00553C38" w:rsidRPr="001F0712">
        <w:rPr>
          <w:rFonts w:ascii="Arial" w:hAnsi="Arial" w:cs="Arial"/>
        </w:rPr>
        <w:t xml:space="preserve"> </w:t>
      </w:r>
      <w:r w:rsidR="00527A2B" w:rsidRPr="001F0712">
        <w:rPr>
          <w:rFonts w:ascii="Arial" w:hAnsi="Arial" w:cs="Arial"/>
        </w:rPr>
        <w:t xml:space="preserve">The pay award from 1 January 2025 has not yet been </w:t>
      </w:r>
      <w:r w:rsidR="00662F55" w:rsidRPr="001F0712">
        <w:rPr>
          <w:rFonts w:ascii="Arial" w:hAnsi="Arial" w:cs="Arial"/>
        </w:rPr>
        <w:t>agreed.</w:t>
      </w:r>
    </w:p>
    <w:p w14:paraId="3AE00D78" w14:textId="77777777" w:rsidR="002908D6" w:rsidRPr="001F0712" w:rsidRDefault="002908D6" w:rsidP="001F16C7">
      <w:pPr>
        <w:pStyle w:val="ListParagraph"/>
        <w:rPr>
          <w:rFonts w:ascii="Arial" w:hAnsi="Arial" w:cs="Arial"/>
          <w:highlight w:val="yellow"/>
        </w:rPr>
      </w:pPr>
    </w:p>
    <w:p w14:paraId="2839DF39" w14:textId="77777777" w:rsidR="006E2A9D" w:rsidRPr="001F0712" w:rsidRDefault="006F585C" w:rsidP="006E6B9D">
      <w:pPr>
        <w:numPr>
          <w:ilvl w:val="1"/>
          <w:numId w:val="1"/>
        </w:numPr>
        <w:ind w:left="709" w:right="-483" w:hanging="709"/>
        <w:rPr>
          <w:rFonts w:ascii="Arial" w:hAnsi="Arial" w:cs="Arial"/>
        </w:rPr>
      </w:pPr>
      <w:r w:rsidRPr="001F0712">
        <w:rPr>
          <w:rFonts w:ascii="Arial" w:hAnsi="Arial" w:cs="Arial"/>
        </w:rPr>
        <w:t xml:space="preserve">Non-statutory chief officers’ </w:t>
      </w:r>
      <w:r w:rsidR="00193954" w:rsidRPr="001F0712">
        <w:rPr>
          <w:rFonts w:ascii="Arial" w:hAnsi="Arial" w:cs="Arial"/>
        </w:rPr>
        <w:t xml:space="preserve">pay </w:t>
      </w:r>
      <w:r w:rsidR="001323D1" w:rsidRPr="001F0712">
        <w:rPr>
          <w:rFonts w:ascii="Arial" w:hAnsi="Arial" w:cs="Arial"/>
        </w:rPr>
        <w:t>is</w:t>
      </w:r>
      <w:r w:rsidR="00193954" w:rsidRPr="001F0712">
        <w:rPr>
          <w:rFonts w:ascii="Arial" w:hAnsi="Arial" w:cs="Arial"/>
        </w:rPr>
        <w:t xml:space="preserve"> set in relation to the percentages of the Chief Fire Officer’s salary</w:t>
      </w:r>
    </w:p>
    <w:p w14:paraId="4F355D5B" w14:textId="77777777" w:rsidR="006E2A9D" w:rsidRPr="001F0712" w:rsidRDefault="006E2A9D" w:rsidP="006E2A9D">
      <w:pPr>
        <w:pStyle w:val="ListParagraph"/>
        <w:rPr>
          <w:rFonts w:ascii="Arial" w:hAnsi="Arial" w:cs="Arial"/>
          <w:sz w:val="14"/>
          <w:szCs w:val="14"/>
        </w:rPr>
      </w:pPr>
    </w:p>
    <w:p w14:paraId="7AA5DB50" w14:textId="05B82935" w:rsidR="006E2A9D" w:rsidRPr="001F0712" w:rsidRDefault="00EA761A" w:rsidP="006E6B9D">
      <w:pPr>
        <w:pStyle w:val="ListParagraph"/>
        <w:numPr>
          <w:ilvl w:val="0"/>
          <w:numId w:val="18"/>
        </w:numPr>
        <w:ind w:right="-483"/>
        <w:rPr>
          <w:rFonts w:ascii="Arial" w:hAnsi="Arial" w:cs="Arial"/>
        </w:rPr>
      </w:pPr>
      <w:r w:rsidRPr="001F0712">
        <w:rPr>
          <w:rFonts w:ascii="Arial" w:hAnsi="Arial" w:cs="Arial"/>
        </w:rPr>
        <w:t xml:space="preserve">Deputy Chief Fire Officer </w:t>
      </w:r>
      <w:r w:rsidR="00315F97" w:rsidRPr="001F0712">
        <w:rPr>
          <w:rFonts w:ascii="Arial" w:hAnsi="Arial" w:cs="Arial"/>
        </w:rPr>
        <w:t xml:space="preserve">is 85% of Chief Fire Officer’s salary; </w:t>
      </w:r>
      <w:r w:rsidRPr="001F0712">
        <w:rPr>
          <w:rFonts w:ascii="Arial" w:hAnsi="Arial" w:cs="Arial"/>
        </w:rPr>
        <w:t xml:space="preserve">and </w:t>
      </w:r>
    </w:p>
    <w:p w14:paraId="40719540" w14:textId="44E7A52B" w:rsidR="001323D1" w:rsidRPr="001F0712" w:rsidRDefault="0060562D" w:rsidP="006E6B9D">
      <w:pPr>
        <w:pStyle w:val="ListParagraph"/>
        <w:numPr>
          <w:ilvl w:val="0"/>
          <w:numId w:val="18"/>
        </w:numPr>
        <w:ind w:right="-483"/>
        <w:rPr>
          <w:rFonts w:ascii="Arial" w:hAnsi="Arial" w:cs="Arial"/>
        </w:rPr>
      </w:pPr>
      <w:r w:rsidRPr="001F0712">
        <w:rPr>
          <w:rFonts w:ascii="Arial" w:hAnsi="Arial" w:cs="Arial"/>
        </w:rPr>
        <w:t>Assistant Chief Fire Officer</w:t>
      </w:r>
      <w:r w:rsidR="00315F97" w:rsidRPr="001F0712">
        <w:rPr>
          <w:rFonts w:ascii="Arial" w:hAnsi="Arial" w:cs="Arial"/>
        </w:rPr>
        <w:t xml:space="preserve"> is</w:t>
      </w:r>
      <w:r w:rsidR="00EA761A" w:rsidRPr="001F0712">
        <w:rPr>
          <w:rFonts w:ascii="Arial" w:hAnsi="Arial" w:cs="Arial"/>
        </w:rPr>
        <w:t xml:space="preserve"> </w:t>
      </w:r>
      <w:r w:rsidR="001C51F8" w:rsidRPr="001F0712">
        <w:rPr>
          <w:rFonts w:ascii="Arial" w:hAnsi="Arial" w:cs="Arial"/>
        </w:rPr>
        <w:t>80%</w:t>
      </w:r>
      <w:r w:rsidRPr="001F0712">
        <w:rPr>
          <w:rFonts w:ascii="Arial" w:hAnsi="Arial" w:cs="Arial"/>
        </w:rPr>
        <w:t xml:space="preserve"> of Chief Fire Officer</w:t>
      </w:r>
      <w:r w:rsidR="00481A07" w:rsidRPr="001F0712">
        <w:rPr>
          <w:rFonts w:ascii="Arial" w:hAnsi="Arial" w:cs="Arial"/>
        </w:rPr>
        <w:t>’s salary</w:t>
      </w:r>
      <w:r w:rsidR="001C51F8" w:rsidRPr="001F0712">
        <w:rPr>
          <w:rFonts w:ascii="Arial" w:hAnsi="Arial" w:cs="Arial"/>
        </w:rPr>
        <w:t>.</w:t>
      </w:r>
    </w:p>
    <w:p w14:paraId="60779E3A" w14:textId="77777777" w:rsidR="00B06035" w:rsidRPr="001F0712" w:rsidRDefault="00B06035" w:rsidP="00724056">
      <w:pPr>
        <w:pStyle w:val="ListParagraph"/>
        <w:rPr>
          <w:rFonts w:ascii="Arial" w:hAnsi="Arial" w:cs="Arial"/>
          <w:highlight w:val="yellow"/>
        </w:rPr>
      </w:pPr>
    </w:p>
    <w:p w14:paraId="45B3DEB2" w14:textId="7707E175" w:rsidR="00CE75A9" w:rsidRPr="001F0712" w:rsidRDefault="00CE75A9" w:rsidP="006E6B9D">
      <w:pPr>
        <w:numPr>
          <w:ilvl w:val="1"/>
          <w:numId w:val="1"/>
        </w:numPr>
        <w:ind w:left="709" w:right="-483" w:hanging="709"/>
        <w:rPr>
          <w:rFonts w:ascii="Arial" w:hAnsi="Arial" w:cs="Arial"/>
        </w:rPr>
      </w:pPr>
      <w:r w:rsidRPr="001F0712">
        <w:rPr>
          <w:rFonts w:ascii="Arial" w:hAnsi="Arial" w:cs="Arial"/>
        </w:rPr>
        <w:t>The Director of Finance, Estates and Facilities received a pay award of 2.5% effective from 1 April 2024</w:t>
      </w:r>
      <w:r w:rsidR="00315F97" w:rsidRPr="001F0712">
        <w:rPr>
          <w:rFonts w:ascii="Arial" w:hAnsi="Arial" w:cs="Arial"/>
        </w:rPr>
        <w:t>. There is no defined relationship between this role and the Grey Book chief officers</w:t>
      </w:r>
      <w:r w:rsidR="00697115" w:rsidRPr="001F0712">
        <w:rPr>
          <w:rFonts w:ascii="Arial" w:hAnsi="Arial" w:cs="Arial"/>
        </w:rPr>
        <w:t>.</w:t>
      </w:r>
    </w:p>
    <w:p w14:paraId="15493E39" w14:textId="77777777" w:rsidR="00B06035" w:rsidRPr="001F0712" w:rsidRDefault="00B06035" w:rsidP="00724056">
      <w:pPr>
        <w:pStyle w:val="ListParagraph"/>
        <w:rPr>
          <w:rFonts w:ascii="Arial" w:hAnsi="Arial" w:cs="Arial"/>
        </w:rPr>
      </w:pPr>
    </w:p>
    <w:p w14:paraId="35E4CEE6" w14:textId="64FEB3E6" w:rsidR="00B06035" w:rsidRPr="001F0712" w:rsidRDefault="00B06035" w:rsidP="006E6B9D">
      <w:pPr>
        <w:numPr>
          <w:ilvl w:val="1"/>
          <w:numId w:val="1"/>
        </w:numPr>
        <w:ind w:left="709" w:right="-483" w:hanging="709"/>
        <w:rPr>
          <w:rFonts w:ascii="Arial" w:hAnsi="Arial" w:cs="Arial"/>
        </w:rPr>
      </w:pPr>
      <w:r w:rsidRPr="001F0712">
        <w:rPr>
          <w:rFonts w:ascii="Arial" w:hAnsi="Arial" w:cs="Arial"/>
        </w:rPr>
        <w:t xml:space="preserve">There is no defined relationship between </w:t>
      </w:r>
      <w:r w:rsidR="00AF4722" w:rsidRPr="001F0712">
        <w:rPr>
          <w:rFonts w:ascii="Arial" w:hAnsi="Arial" w:cs="Arial"/>
        </w:rPr>
        <w:t>Gold Book employees’</w:t>
      </w:r>
      <w:r w:rsidRPr="001F0712">
        <w:rPr>
          <w:rFonts w:ascii="Arial" w:hAnsi="Arial" w:cs="Arial"/>
        </w:rPr>
        <w:t xml:space="preserve"> pay and </w:t>
      </w:r>
      <w:r w:rsidR="00AF4722" w:rsidRPr="001F0712">
        <w:rPr>
          <w:rFonts w:ascii="Arial" w:hAnsi="Arial" w:cs="Arial"/>
        </w:rPr>
        <w:t xml:space="preserve">that of </w:t>
      </w:r>
      <w:r w:rsidRPr="001F0712">
        <w:rPr>
          <w:rFonts w:ascii="Arial" w:hAnsi="Arial" w:cs="Arial"/>
        </w:rPr>
        <w:t>other Authority employees</w:t>
      </w:r>
      <w:r w:rsidR="00FD62D1" w:rsidRPr="001F0712">
        <w:rPr>
          <w:rFonts w:ascii="Arial" w:hAnsi="Arial" w:cs="Arial"/>
        </w:rPr>
        <w:t xml:space="preserve"> (i.e. Grey or Green Book)</w:t>
      </w:r>
      <w:r w:rsidRPr="001F0712">
        <w:rPr>
          <w:rFonts w:ascii="Arial" w:hAnsi="Arial" w:cs="Arial"/>
        </w:rPr>
        <w:t>.</w:t>
      </w:r>
    </w:p>
    <w:p w14:paraId="25E21E41" w14:textId="77777777" w:rsidR="001C51F8" w:rsidRPr="001F0712" w:rsidRDefault="001C51F8" w:rsidP="001C51F8">
      <w:pPr>
        <w:autoSpaceDE w:val="0"/>
        <w:autoSpaceDN w:val="0"/>
        <w:adjustRightInd w:val="0"/>
        <w:rPr>
          <w:rFonts w:ascii="Arial" w:hAnsi="Arial" w:cs="Arial"/>
        </w:rPr>
      </w:pPr>
    </w:p>
    <w:p w14:paraId="6EAF6F23" w14:textId="7D817B14" w:rsidR="00193954" w:rsidRPr="001F0712" w:rsidRDefault="00CE75A9" w:rsidP="006E6B9D">
      <w:pPr>
        <w:numPr>
          <w:ilvl w:val="1"/>
          <w:numId w:val="1"/>
        </w:numPr>
        <w:ind w:left="709" w:right="-483" w:hanging="709"/>
        <w:rPr>
          <w:rFonts w:ascii="Arial" w:hAnsi="Arial" w:cs="Arial"/>
        </w:rPr>
      </w:pPr>
      <w:r w:rsidRPr="001F0712">
        <w:rPr>
          <w:rFonts w:ascii="Arial" w:hAnsi="Arial" w:cs="Arial"/>
        </w:rPr>
        <w:t xml:space="preserve">In addition to the pay details set out in Annex 2, </w:t>
      </w:r>
      <w:r w:rsidR="00FE1942" w:rsidRPr="001F0712">
        <w:rPr>
          <w:rFonts w:ascii="Arial" w:hAnsi="Arial" w:cs="Arial"/>
        </w:rPr>
        <w:t xml:space="preserve">Gold and </w:t>
      </w:r>
      <w:r w:rsidR="0087524F" w:rsidRPr="001F0712">
        <w:rPr>
          <w:rFonts w:ascii="Arial" w:hAnsi="Arial" w:cs="Arial"/>
        </w:rPr>
        <w:t xml:space="preserve">Grey Book chief officers </w:t>
      </w:r>
      <w:r w:rsidR="001323D1" w:rsidRPr="001F0712">
        <w:rPr>
          <w:rFonts w:ascii="Arial" w:hAnsi="Arial" w:cs="Arial"/>
        </w:rPr>
        <w:t xml:space="preserve">are </w:t>
      </w:r>
      <w:r w:rsidR="00193954" w:rsidRPr="001F0712">
        <w:rPr>
          <w:rFonts w:ascii="Arial" w:hAnsi="Arial" w:cs="Arial"/>
        </w:rPr>
        <w:t>provided with a car</w:t>
      </w:r>
      <w:r w:rsidR="00CE21A6" w:rsidRPr="001F0712">
        <w:rPr>
          <w:rFonts w:ascii="Arial" w:hAnsi="Arial" w:cs="Arial"/>
        </w:rPr>
        <w:t xml:space="preserve"> (plus all running costs)</w:t>
      </w:r>
      <w:r w:rsidR="00EE6BAF" w:rsidRPr="001F0712">
        <w:rPr>
          <w:rFonts w:ascii="Arial" w:hAnsi="Arial" w:cs="Arial"/>
        </w:rPr>
        <w:t xml:space="preserve"> to enable </w:t>
      </w:r>
      <w:r w:rsidR="008478A8" w:rsidRPr="001F0712">
        <w:rPr>
          <w:rFonts w:ascii="Arial" w:hAnsi="Arial" w:cs="Arial"/>
        </w:rPr>
        <w:t>them</w:t>
      </w:r>
      <w:r w:rsidR="00EE6BAF" w:rsidRPr="001F0712">
        <w:rPr>
          <w:rFonts w:ascii="Arial" w:hAnsi="Arial" w:cs="Arial"/>
        </w:rPr>
        <w:t xml:space="preserve"> to respond to major incidents</w:t>
      </w:r>
      <w:r w:rsidR="00FD62D1" w:rsidRPr="001F0712">
        <w:rPr>
          <w:rFonts w:ascii="Arial" w:hAnsi="Arial" w:cs="Arial"/>
        </w:rPr>
        <w:t xml:space="preserve">, with the </w:t>
      </w:r>
      <w:r w:rsidR="007052DA" w:rsidRPr="001F0712">
        <w:rPr>
          <w:rFonts w:ascii="Arial" w:hAnsi="Arial" w:cs="Arial"/>
        </w:rPr>
        <w:t>value of the vehicle</w:t>
      </w:r>
      <w:r w:rsidR="00EE6BAF" w:rsidRPr="001F0712">
        <w:rPr>
          <w:rFonts w:ascii="Arial" w:hAnsi="Arial" w:cs="Arial"/>
        </w:rPr>
        <w:t xml:space="preserve"> being</w:t>
      </w:r>
      <w:r w:rsidR="00FD62D1" w:rsidRPr="001F0712">
        <w:rPr>
          <w:rFonts w:ascii="Arial" w:hAnsi="Arial" w:cs="Arial"/>
        </w:rPr>
        <w:t xml:space="preserve"> linked to their </w:t>
      </w:r>
      <w:r w:rsidR="007052DA" w:rsidRPr="001F0712">
        <w:rPr>
          <w:rFonts w:ascii="Arial" w:hAnsi="Arial" w:cs="Arial"/>
        </w:rPr>
        <w:t>salary</w:t>
      </w:r>
      <w:r w:rsidR="0063251B" w:rsidRPr="001F0712">
        <w:rPr>
          <w:rFonts w:ascii="Arial" w:hAnsi="Arial" w:cs="Arial"/>
        </w:rPr>
        <w:t xml:space="preserve"> (figures are inclusive of VAT)</w:t>
      </w:r>
      <w:r w:rsidR="007052DA" w:rsidRPr="001F0712">
        <w:rPr>
          <w:rFonts w:ascii="Arial" w:hAnsi="Arial" w:cs="Arial"/>
        </w:rPr>
        <w:t>:</w:t>
      </w:r>
    </w:p>
    <w:p w14:paraId="12737756" w14:textId="77777777" w:rsidR="007052DA" w:rsidRPr="001F0712" w:rsidRDefault="007052DA" w:rsidP="007052DA">
      <w:pPr>
        <w:pStyle w:val="ListParagraph"/>
        <w:rPr>
          <w:rFonts w:ascii="Arial" w:hAnsi="Arial" w:cs="Arial"/>
          <w:sz w:val="14"/>
          <w:szCs w:val="14"/>
        </w:rPr>
      </w:pPr>
    </w:p>
    <w:p w14:paraId="552D7065" w14:textId="6B5B9FDB" w:rsidR="007052DA" w:rsidRPr="001F0712" w:rsidRDefault="007052DA" w:rsidP="006E6B9D">
      <w:pPr>
        <w:pStyle w:val="ListParagraph"/>
        <w:numPr>
          <w:ilvl w:val="0"/>
          <w:numId w:val="18"/>
        </w:numPr>
        <w:ind w:right="-483"/>
        <w:rPr>
          <w:rFonts w:ascii="Arial" w:hAnsi="Arial" w:cs="Arial"/>
        </w:rPr>
      </w:pPr>
      <w:r w:rsidRPr="001F0712">
        <w:rPr>
          <w:rFonts w:ascii="Arial" w:hAnsi="Arial" w:cs="Arial"/>
        </w:rPr>
        <w:t xml:space="preserve">Chief Fire Officer: </w:t>
      </w:r>
      <w:r w:rsidR="008D347C" w:rsidRPr="001F0712">
        <w:rPr>
          <w:rFonts w:ascii="Arial" w:hAnsi="Arial" w:cs="Arial"/>
        </w:rPr>
        <w:t>£</w:t>
      </w:r>
      <w:r w:rsidR="00F06564" w:rsidRPr="001F0712">
        <w:rPr>
          <w:rFonts w:ascii="Arial" w:hAnsi="Arial" w:cs="Arial"/>
        </w:rPr>
        <w:t>71</w:t>
      </w:r>
      <w:r w:rsidR="008D347C" w:rsidRPr="001F0712">
        <w:rPr>
          <w:rFonts w:ascii="Arial" w:hAnsi="Arial" w:cs="Arial"/>
        </w:rPr>
        <w:t>,</w:t>
      </w:r>
      <w:r w:rsidR="00F06564" w:rsidRPr="001F0712">
        <w:rPr>
          <w:rFonts w:ascii="Arial" w:hAnsi="Arial" w:cs="Arial"/>
        </w:rPr>
        <w:t>509</w:t>
      </w:r>
      <w:r w:rsidR="008D347C" w:rsidRPr="001F0712">
        <w:rPr>
          <w:rFonts w:ascii="Arial" w:hAnsi="Arial" w:cs="Arial"/>
        </w:rPr>
        <w:t xml:space="preserve"> </w:t>
      </w:r>
    </w:p>
    <w:p w14:paraId="30E83EDC" w14:textId="35107C7C" w:rsidR="007052DA" w:rsidRPr="001F0712" w:rsidRDefault="007052DA" w:rsidP="006E6B9D">
      <w:pPr>
        <w:pStyle w:val="ListParagraph"/>
        <w:numPr>
          <w:ilvl w:val="0"/>
          <w:numId w:val="18"/>
        </w:numPr>
        <w:ind w:right="-483"/>
        <w:rPr>
          <w:rFonts w:ascii="Arial" w:hAnsi="Arial" w:cs="Arial"/>
        </w:rPr>
      </w:pPr>
      <w:r w:rsidRPr="001F0712">
        <w:rPr>
          <w:rFonts w:ascii="Arial" w:hAnsi="Arial" w:cs="Arial"/>
        </w:rPr>
        <w:t xml:space="preserve">Deputy Chief Fire Officer: </w:t>
      </w:r>
      <w:r w:rsidR="00CE21A6" w:rsidRPr="001F0712">
        <w:rPr>
          <w:rFonts w:ascii="Arial" w:hAnsi="Arial" w:cs="Arial"/>
        </w:rPr>
        <w:t>£</w:t>
      </w:r>
      <w:r w:rsidR="006C0C6E" w:rsidRPr="001F0712">
        <w:rPr>
          <w:rFonts w:ascii="Arial" w:hAnsi="Arial" w:cs="Arial"/>
        </w:rPr>
        <w:t>58</w:t>
      </w:r>
      <w:r w:rsidR="00CE21A6" w:rsidRPr="001F0712">
        <w:rPr>
          <w:rFonts w:ascii="Arial" w:hAnsi="Arial" w:cs="Arial"/>
        </w:rPr>
        <w:t>,</w:t>
      </w:r>
      <w:r w:rsidR="006C0C6E" w:rsidRPr="001F0712">
        <w:rPr>
          <w:rFonts w:ascii="Arial" w:hAnsi="Arial" w:cs="Arial"/>
        </w:rPr>
        <w:t>995</w:t>
      </w:r>
      <w:r w:rsidR="00CE21A6" w:rsidRPr="001F0712">
        <w:rPr>
          <w:rFonts w:ascii="Arial" w:hAnsi="Arial" w:cs="Arial"/>
        </w:rPr>
        <w:t xml:space="preserve"> </w:t>
      </w:r>
    </w:p>
    <w:p w14:paraId="54B3D807" w14:textId="5484787D" w:rsidR="007052DA" w:rsidRPr="001F0712" w:rsidRDefault="007052DA" w:rsidP="006E6B9D">
      <w:pPr>
        <w:pStyle w:val="ListParagraph"/>
        <w:numPr>
          <w:ilvl w:val="0"/>
          <w:numId w:val="18"/>
        </w:numPr>
        <w:ind w:right="-483"/>
        <w:rPr>
          <w:rFonts w:ascii="Arial" w:hAnsi="Arial" w:cs="Arial"/>
        </w:rPr>
      </w:pPr>
      <w:r w:rsidRPr="001F0712">
        <w:rPr>
          <w:rFonts w:ascii="Arial" w:hAnsi="Arial" w:cs="Arial"/>
        </w:rPr>
        <w:t xml:space="preserve">Assistant Chief Fire Officer: </w:t>
      </w:r>
      <w:r w:rsidR="00CE21A6" w:rsidRPr="001F0712">
        <w:rPr>
          <w:rFonts w:ascii="Arial" w:hAnsi="Arial" w:cs="Arial"/>
        </w:rPr>
        <w:t>£</w:t>
      </w:r>
      <w:r w:rsidR="006C0C6E" w:rsidRPr="001F0712">
        <w:rPr>
          <w:rFonts w:ascii="Arial" w:hAnsi="Arial" w:cs="Arial"/>
        </w:rPr>
        <w:t>57</w:t>
      </w:r>
      <w:r w:rsidR="00CE21A6" w:rsidRPr="001F0712">
        <w:rPr>
          <w:rFonts w:ascii="Arial" w:hAnsi="Arial" w:cs="Arial"/>
        </w:rPr>
        <w:t>,</w:t>
      </w:r>
      <w:r w:rsidR="006C0C6E" w:rsidRPr="001F0712">
        <w:rPr>
          <w:rFonts w:ascii="Arial" w:hAnsi="Arial" w:cs="Arial"/>
        </w:rPr>
        <w:t>207</w:t>
      </w:r>
      <w:r w:rsidR="00CE21A6" w:rsidRPr="001F0712">
        <w:rPr>
          <w:rFonts w:ascii="Arial" w:hAnsi="Arial" w:cs="Arial"/>
        </w:rPr>
        <w:t xml:space="preserve"> </w:t>
      </w:r>
    </w:p>
    <w:p w14:paraId="0BDC9D8D" w14:textId="790F2C46" w:rsidR="00CE21A6" w:rsidRPr="001F0712" w:rsidRDefault="00CE21A6" w:rsidP="006E6B9D">
      <w:pPr>
        <w:pStyle w:val="ListParagraph"/>
        <w:numPr>
          <w:ilvl w:val="0"/>
          <w:numId w:val="18"/>
        </w:numPr>
        <w:ind w:right="-483"/>
        <w:rPr>
          <w:rFonts w:ascii="Arial" w:hAnsi="Arial" w:cs="Arial"/>
        </w:rPr>
      </w:pPr>
      <w:r w:rsidRPr="001F0712">
        <w:rPr>
          <w:rFonts w:ascii="Arial" w:hAnsi="Arial" w:cs="Arial"/>
        </w:rPr>
        <w:t>Area Managers</w:t>
      </w:r>
      <w:r w:rsidR="006C0C6E" w:rsidRPr="001F0712">
        <w:rPr>
          <w:rFonts w:ascii="Arial" w:hAnsi="Arial" w:cs="Arial"/>
        </w:rPr>
        <w:t xml:space="preserve"> x 4</w:t>
      </w:r>
      <w:r w:rsidRPr="001F0712">
        <w:rPr>
          <w:rFonts w:ascii="Arial" w:hAnsi="Arial" w:cs="Arial"/>
        </w:rPr>
        <w:t>: £</w:t>
      </w:r>
      <w:r w:rsidR="00A31A7C" w:rsidRPr="001F0712">
        <w:rPr>
          <w:rFonts w:ascii="Arial" w:hAnsi="Arial" w:cs="Arial"/>
        </w:rPr>
        <w:t>52</w:t>
      </w:r>
      <w:r w:rsidRPr="001F0712">
        <w:rPr>
          <w:rFonts w:ascii="Arial" w:hAnsi="Arial" w:cs="Arial"/>
        </w:rPr>
        <w:t>,</w:t>
      </w:r>
      <w:r w:rsidR="00A31A7C" w:rsidRPr="001F0712">
        <w:rPr>
          <w:rFonts w:ascii="Arial" w:hAnsi="Arial" w:cs="Arial"/>
        </w:rPr>
        <w:t>916</w:t>
      </w:r>
      <w:r w:rsidRPr="001F0712">
        <w:rPr>
          <w:rFonts w:ascii="Arial" w:hAnsi="Arial" w:cs="Arial"/>
        </w:rPr>
        <w:t xml:space="preserve"> </w:t>
      </w:r>
    </w:p>
    <w:p w14:paraId="5B479583" w14:textId="77777777" w:rsidR="001B6C56" w:rsidRPr="001F0712" w:rsidRDefault="001B6C56" w:rsidP="001F16C7">
      <w:pPr>
        <w:pStyle w:val="ListParagraph"/>
        <w:rPr>
          <w:rFonts w:ascii="Arial" w:hAnsi="Arial" w:cs="Arial"/>
          <w:highlight w:val="yellow"/>
        </w:rPr>
      </w:pPr>
    </w:p>
    <w:p w14:paraId="4527709D" w14:textId="5729C225" w:rsidR="00FE1942" w:rsidRPr="001F0712" w:rsidRDefault="00430324" w:rsidP="006E6B9D">
      <w:pPr>
        <w:numPr>
          <w:ilvl w:val="1"/>
          <w:numId w:val="1"/>
        </w:numPr>
        <w:ind w:left="709" w:right="-483" w:hanging="709"/>
        <w:rPr>
          <w:rFonts w:ascii="Arial" w:hAnsi="Arial" w:cs="Arial"/>
        </w:rPr>
      </w:pPr>
      <w:r w:rsidRPr="001F0712">
        <w:rPr>
          <w:rFonts w:ascii="Arial" w:hAnsi="Arial" w:cs="Arial"/>
        </w:rPr>
        <w:t>Chief officers do not receive bonuses of any kind</w:t>
      </w:r>
      <w:r w:rsidR="00F745D0" w:rsidRPr="001F0712">
        <w:rPr>
          <w:rFonts w:ascii="Arial" w:hAnsi="Arial" w:cs="Arial"/>
        </w:rPr>
        <w:t xml:space="preserve"> and are not subject to performance-related pay</w:t>
      </w:r>
      <w:r w:rsidR="00B02743" w:rsidRPr="001F0712">
        <w:rPr>
          <w:rFonts w:ascii="Arial" w:hAnsi="Arial" w:cs="Arial"/>
        </w:rPr>
        <w:t xml:space="preserve"> or termination payments</w:t>
      </w:r>
      <w:r w:rsidRPr="001F0712">
        <w:rPr>
          <w:rFonts w:ascii="Arial" w:hAnsi="Arial" w:cs="Arial"/>
        </w:rPr>
        <w:t>.</w:t>
      </w:r>
    </w:p>
    <w:p w14:paraId="5571E862" w14:textId="77777777" w:rsidR="00FE1942" w:rsidRPr="001F0712" w:rsidRDefault="00FE1942" w:rsidP="00804460">
      <w:pPr>
        <w:rPr>
          <w:rFonts w:ascii="Arial" w:hAnsi="Arial" w:cs="Arial"/>
          <w:highlight w:val="yellow"/>
        </w:rPr>
      </w:pPr>
    </w:p>
    <w:p w14:paraId="643FAFE9" w14:textId="25732515" w:rsidR="001E59C2" w:rsidRPr="001F0712" w:rsidRDefault="003F4BFC" w:rsidP="00C31FA3">
      <w:pPr>
        <w:pStyle w:val="Heading2"/>
        <w:numPr>
          <w:ilvl w:val="0"/>
          <w:numId w:val="0"/>
        </w:numPr>
        <w:ind w:left="709"/>
        <w:rPr>
          <w:rFonts w:cs="Arial"/>
        </w:rPr>
      </w:pPr>
      <w:bookmarkStart w:id="9" w:name="_Toc194319272"/>
      <w:r w:rsidRPr="001F0712">
        <w:rPr>
          <w:rFonts w:cs="Arial"/>
        </w:rPr>
        <w:t xml:space="preserve">Remuneration of </w:t>
      </w:r>
      <w:r w:rsidR="006C7969" w:rsidRPr="001F0712">
        <w:rPr>
          <w:rFonts w:cs="Arial"/>
        </w:rPr>
        <w:t>chief o</w:t>
      </w:r>
      <w:r w:rsidRPr="001F0712">
        <w:rPr>
          <w:rFonts w:cs="Arial"/>
        </w:rPr>
        <w:t>fficers on recruitment</w:t>
      </w:r>
      <w:bookmarkEnd w:id="9"/>
    </w:p>
    <w:p w14:paraId="5DD920D0" w14:textId="02178FBD" w:rsidR="00ED1B95" w:rsidRPr="001F0712" w:rsidRDefault="00ED1B95" w:rsidP="006E6B9D">
      <w:pPr>
        <w:numPr>
          <w:ilvl w:val="1"/>
          <w:numId w:val="1"/>
        </w:numPr>
        <w:ind w:left="709" w:right="-483" w:hanging="709"/>
        <w:rPr>
          <w:rFonts w:ascii="Arial" w:hAnsi="Arial" w:cs="Arial"/>
        </w:rPr>
      </w:pPr>
      <w:r w:rsidRPr="00262512">
        <w:rPr>
          <w:rFonts w:ascii="Arial" w:hAnsi="Arial" w:cs="Arial"/>
        </w:rPr>
        <w:t>On recruitment</w:t>
      </w:r>
      <w:r w:rsidR="008E4504" w:rsidRPr="00262512">
        <w:rPr>
          <w:rFonts w:ascii="Arial" w:hAnsi="Arial" w:cs="Arial"/>
        </w:rPr>
        <w:t>,</w:t>
      </w:r>
      <w:r w:rsidRPr="00262512">
        <w:rPr>
          <w:rFonts w:ascii="Arial" w:hAnsi="Arial" w:cs="Arial"/>
        </w:rPr>
        <w:t xml:space="preserve"> </w:t>
      </w:r>
      <w:r w:rsidR="003F4BFC" w:rsidRPr="00262512">
        <w:rPr>
          <w:rFonts w:ascii="Arial" w:hAnsi="Arial" w:cs="Arial"/>
        </w:rPr>
        <w:t xml:space="preserve">the </w:t>
      </w:r>
      <w:r w:rsidR="00193954" w:rsidRPr="00262512">
        <w:rPr>
          <w:rFonts w:ascii="Arial" w:hAnsi="Arial" w:cs="Arial"/>
        </w:rPr>
        <w:t>Authority will</w:t>
      </w:r>
      <w:r w:rsidRPr="00262512">
        <w:rPr>
          <w:rFonts w:ascii="Arial" w:hAnsi="Arial" w:cs="Arial"/>
        </w:rPr>
        <w:t xml:space="preserve"> consider and</w:t>
      </w:r>
      <w:r w:rsidR="00CA34DE" w:rsidRPr="00262512">
        <w:rPr>
          <w:rFonts w:ascii="Arial" w:hAnsi="Arial" w:cs="Arial"/>
        </w:rPr>
        <w:t xml:space="preserve"> agree </w:t>
      </w:r>
      <w:r w:rsidRPr="00262512">
        <w:rPr>
          <w:rFonts w:ascii="Arial" w:hAnsi="Arial" w:cs="Arial"/>
        </w:rPr>
        <w:t>the conditions of</w:t>
      </w:r>
      <w:r w:rsidR="00193954" w:rsidRPr="00262512">
        <w:rPr>
          <w:rFonts w:ascii="Arial" w:hAnsi="Arial" w:cs="Arial"/>
        </w:rPr>
        <w:t xml:space="preserve"> </w:t>
      </w:r>
      <w:r w:rsidRPr="00262512">
        <w:rPr>
          <w:rFonts w:ascii="Arial" w:hAnsi="Arial" w:cs="Arial"/>
        </w:rPr>
        <w:t xml:space="preserve">employment and salary of the </w:t>
      </w:r>
      <w:r w:rsidR="008E4504" w:rsidRPr="00262512">
        <w:rPr>
          <w:rFonts w:ascii="Arial" w:hAnsi="Arial" w:cs="Arial"/>
        </w:rPr>
        <w:t>three Principal</w:t>
      </w:r>
      <w:r w:rsidR="001E59C2" w:rsidRPr="00262512">
        <w:rPr>
          <w:rFonts w:ascii="Arial" w:hAnsi="Arial" w:cs="Arial"/>
        </w:rPr>
        <w:t xml:space="preserve"> Officer</w:t>
      </w:r>
      <w:r w:rsidR="008E4504" w:rsidRPr="00262512">
        <w:rPr>
          <w:rFonts w:ascii="Arial" w:hAnsi="Arial" w:cs="Arial"/>
        </w:rPr>
        <w:t>s</w:t>
      </w:r>
      <w:r w:rsidR="00065957" w:rsidRPr="00262512">
        <w:rPr>
          <w:rFonts w:ascii="Arial" w:hAnsi="Arial" w:cs="Arial"/>
        </w:rPr>
        <w:t xml:space="preserve"> (or</w:t>
      </w:r>
      <w:r w:rsidR="00065957">
        <w:rPr>
          <w:rFonts w:ascii="Arial" w:hAnsi="Arial" w:cs="Arial"/>
        </w:rPr>
        <w:t xml:space="preserve"> Gold Book employees)</w:t>
      </w:r>
      <w:r w:rsidRPr="001F0712">
        <w:rPr>
          <w:rFonts w:ascii="Arial" w:hAnsi="Arial" w:cs="Arial"/>
        </w:rPr>
        <w:t xml:space="preserve">. Consideration will be given to </w:t>
      </w:r>
      <w:r w:rsidR="00E014D9" w:rsidRPr="001F0712">
        <w:rPr>
          <w:rFonts w:ascii="Arial" w:hAnsi="Arial" w:cs="Arial"/>
        </w:rPr>
        <w:t xml:space="preserve">market forces, national </w:t>
      </w:r>
      <w:r w:rsidR="00CA34DE" w:rsidRPr="001F0712">
        <w:rPr>
          <w:rFonts w:ascii="Arial" w:hAnsi="Arial" w:cs="Arial"/>
        </w:rPr>
        <w:t xml:space="preserve">policy, </w:t>
      </w:r>
      <w:r w:rsidR="00E014D9" w:rsidRPr="001F0712">
        <w:rPr>
          <w:rFonts w:ascii="Arial" w:hAnsi="Arial" w:cs="Arial"/>
        </w:rPr>
        <w:t>local</w:t>
      </w:r>
      <w:r w:rsidR="00CB7DAA" w:rsidRPr="001F0712">
        <w:rPr>
          <w:rFonts w:ascii="Arial" w:hAnsi="Arial" w:cs="Arial"/>
        </w:rPr>
        <w:t xml:space="preserve"> indicators</w:t>
      </w:r>
      <w:r w:rsidR="00E014D9" w:rsidRPr="001F0712">
        <w:rPr>
          <w:rFonts w:ascii="Arial" w:hAnsi="Arial" w:cs="Arial"/>
        </w:rPr>
        <w:t xml:space="preserve"> and N</w:t>
      </w:r>
      <w:r w:rsidR="00CB7DAA" w:rsidRPr="001F0712">
        <w:rPr>
          <w:rFonts w:ascii="Arial" w:hAnsi="Arial" w:cs="Arial"/>
        </w:rPr>
        <w:t>J</w:t>
      </w:r>
      <w:r w:rsidR="00E014D9" w:rsidRPr="001F0712">
        <w:rPr>
          <w:rFonts w:ascii="Arial" w:hAnsi="Arial" w:cs="Arial"/>
        </w:rPr>
        <w:t>C guidance.</w:t>
      </w:r>
      <w:r w:rsidR="00BC12BB" w:rsidRPr="001F0712">
        <w:rPr>
          <w:rFonts w:ascii="Arial" w:hAnsi="Arial" w:cs="Arial"/>
        </w:rPr>
        <w:t xml:space="preserve"> </w:t>
      </w:r>
    </w:p>
    <w:p w14:paraId="6764785C" w14:textId="77777777" w:rsidR="00F645A4" w:rsidRPr="001F0712" w:rsidRDefault="00F645A4" w:rsidP="00F645A4">
      <w:pPr>
        <w:autoSpaceDE w:val="0"/>
        <w:autoSpaceDN w:val="0"/>
        <w:adjustRightInd w:val="0"/>
        <w:ind w:left="709"/>
        <w:rPr>
          <w:rFonts w:ascii="Arial" w:hAnsi="Arial" w:cs="Arial"/>
        </w:rPr>
      </w:pPr>
    </w:p>
    <w:p w14:paraId="52F4E61D" w14:textId="754B0C42" w:rsidR="006C7969" w:rsidRPr="001F0712" w:rsidRDefault="006A33D4" w:rsidP="006E6B9D">
      <w:pPr>
        <w:numPr>
          <w:ilvl w:val="1"/>
          <w:numId w:val="1"/>
        </w:numPr>
        <w:ind w:left="709" w:right="-483" w:hanging="709"/>
        <w:rPr>
          <w:rFonts w:ascii="Arial" w:hAnsi="Arial" w:cs="Arial"/>
        </w:rPr>
      </w:pPr>
      <w:r w:rsidRPr="001F0712">
        <w:rPr>
          <w:rFonts w:ascii="Arial" w:hAnsi="Arial" w:cs="Arial"/>
        </w:rPr>
        <w:t xml:space="preserve">On recruitment for all other </w:t>
      </w:r>
      <w:r w:rsidR="00F645A4" w:rsidRPr="001F0712">
        <w:rPr>
          <w:rFonts w:ascii="Arial" w:hAnsi="Arial" w:cs="Arial"/>
        </w:rPr>
        <w:t>chief officer posts</w:t>
      </w:r>
      <w:r w:rsidRPr="001F0712">
        <w:rPr>
          <w:rFonts w:ascii="Arial" w:hAnsi="Arial" w:cs="Arial"/>
        </w:rPr>
        <w:t>,</w:t>
      </w:r>
      <w:r w:rsidR="00F645A4" w:rsidRPr="001F0712">
        <w:rPr>
          <w:rFonts w:ascii="Arial" w:hAnsi="Arial" w:cs="Arial"/>
        </w:rPr>
        <w:t xml:space="preserve"> standard pay scales will be used</w:t>
      </w:r>
      <w:r w:rsidR="00F44113">
        <w:rPr>
          <w:rFonts w:ascii="Arial" w:hAnsi="Arial" w:cs="Arial"/>
        </w:rPr>
        <w:t xml:space="preserve"> (</w:t>
      </w:r>
      <w:r w:rsidR="00F645A4" w:rsidRPr="001F0712">
        <w:rPr>
          <w:rFonts w:ascii="Arial" w:hAnsi="Arial" w:cs="Arial"/>
        </w:rPr>
        <w:t xml:space="preserve">as set out in Annex </w:t>
      </w:r>
      <w:r w:rsidR="00832AC6">
        <w:rPr>
          <w:rFonts w:ascii="Arial" w:hAnsi="Arial" w:cs="Arial"/>
        </w:rPr>
        <w:t>4</w:t>
      </w:r>
      <w:r w:rsidR="00F44113">
        <w:rPr>
          <w:rFonts w:ascii="Arial" w:hAnsi="Arial" w:cs="Arial"/>
        </w:rPr>
        <w:t>)</w:t>
      </w:r>
      <w:r w:rsidR="00F645A4" w:rsidRPr="001F0712">
        <w:rPr>
          <w:rFonts w:ascii="Arial" w:hAnsi="Arial" w:cs="Arial"/>
        </w:rPr>
        <w:t>.</w:t>
      </w:r>
    </w:p>
    <w:p w14:paraId="6E5DCDC2" w14:textId="77777777" w:rsidR="006C7969" w:rsidRPr="001F0712" w:rsidRDefault="006C7969" w:rsidP="006C7969">
      <w:pPr>
        <w:autoSpaceDE w:val="0"/>
        <w:autoSpaceDN w:val="0"/>
        <w:adjustRightInd w:val="0"/>
        <w:ind w:left="709"/>
        <w:rPr>
          <w:rFonts w:ascii="Arial" w:hAnsi="Arial" w:cs="Arial"/>
        </w:rPr>
      </w:pPr>
    </w:p>
    <w:p w14:paraId="3AD16B1A" w14:textId="1E279959" w:rsidR="00ED62A7" w:rsidRPr="001F0712" w:rsidRDefault="00E01986" w:rsidP="00C31FA3">
      <w:pPr>
        <w:pStyle w:val="Heading2"/>
        <w:numPr>
          <w:ilvl w:val="0"/>
          <w:numId w:val="0"/>
        </w:numPr>
        <w:ind w:left="709"/>
        <w:rPr>
          <w:rFonts w:cs="Arial"/>
          <w:b w:val="0"/>
          <w:bCs/>
        </w:rPr>
      </w:pPr>
      <w:bookmarkStart w:id="10" w:name="_Toc194319273"/>
      <w:r w:rsidRPr="001F0712">
        <w:rPr>
          <w:rFonts w:cs="Arial"/>
          <w:bCs/>
        </w:rPr>
        <w:t>P</w:t>
      </w:r>
      <w:r w:rsidR="000F529C" w:rsidRPr="001F0712">
        <w:rPr>
          <w:rFonts w:cs="Arial"/>
          <w:bCs/>
        </w:rPr>
        <w:t xml:space="preserve">ayment </w:t>
      </w:r>
      <w:r w:rsidRPr="001F0712">
        <w:rPr>
          <w:rFonts w:cs="Arial"/>
          <w:bCs/>
        </w:rPr>
        <w:t>on termination of employment</w:t>
      </w:r>
      <w:bookmarkEnd w:id="10"/>
      <w:r w:rsidR="000F529C" w:rsidRPr="001F0712">
        <w:rPr>
          <w:rFonts w:cs="Arial"/>
          <w:bCs/>
        </w:rPr>
        <w:t xml:space="preserve"> </w:t>
      </w:r>
    </w:p>
    <w:p w14:paraId="0847327C" w14:textId="6AC554F5" w:rsidR="00ED62A7" w:rsidRPr="001F0712" w:rsidRDefault="00ED62A7" w:rsidP="006E6B9D">
      <w:pPr>
        <w:numPr>
          <w:ilvl w:val="1"/>
          <w:numId w:val="1"/>
        </w:numPr>
        <w:ind w:left="709" w:right="-483" w:hanging="709"/>
        <w:rPr>
          <w:rFonts w:ascii="Arial" w:hAnsi="Arial" w:cs="Arial"/>
        </w:rPr>
      </w:pPr>
      <w:r w:rsidRPr="001F0712">
        <w:rPr>
          <w:rFonts w:ascii="Arial" w:hAnsi="Arial" w:cs="Arial"/>
        </w:rPr>
        <w:t xml:space="preserve">The </w:t>
      </w:r>
      <w:r w:rsidR="00DD0E8E" w:rsidRPr="001F0712">
        <w:rPr>
          <w:rFonts w:ascii="Arial" w:hAnsi="Arial" w:cs="Arial"/>
        </w:rPr>
        <w:t xml:space="preserve">final </w:t>
      </w:r>
      <w:r w:rsidRPr="001F0712">
        <w:rPr>
          <w:rFonts w:ascii="Arial" w:hAnsi="Arial" w:cs="Arial"/>
        </w:rPr>
        <w:t xml:space="preserve">payment to </w:t>
      </w:r>
      <w:r w:rsidR="00EB1EA2" w:rsidRPr="001F0712">
        <w:rPr>
          <w:rFonts w:ascii="Arial" w:hAnsi="Arial" w:cs="Arial"/>
        </w:rPr>
        <w:t xml:space="preserve">Principal Officers </w:t>
      </w:r>
      <w:r w:rsidRPr="001F0712">
        <w:rPr>
          <w:rFonts w:ascii="Arial" w:hAnsi="Arial" w:cs="Arial"/>
        </w:rPr>
        <w:t xml:space="preserve">on the ceasing of their employment </w:t>
      </w:r>
      <w:r w:rsidR="00E735D9" w:rsidRPr="001F0712">
        <w:rPr>
          <w:rFonts w:ascii="Arial" w:hAnsi="Arial" w:cs="Arial"/>
        </w:rPr>
        <w:t>will be</w:t>
      </w:r>
      <w:r w:rsidRPr="001F0712">
        <w:rPr>
          <w:rFonts w:ascii="Arial" w:hAnsi="Arial" w:cs="Arial"/>
        </w:rPr>
        <w:t xml:space="preserve"> in line with the benefits accrued through meeting the qualifying requirements of the </w:t>
      </w:r>
      <w:r w:rsidR="00DD0E8E" w:rsidRPr="001F0712">
        <w:rPr>
          <w:rFonts w:ascii="Arial" w:hAnsi="Arial" w:cs="Arial"/>
        </w:rPr>
        <w:t>Firefighters’</w:t>
      </w:r>
      <w:r w:rsidRPr="001F0712">
        <w:rPr>
          <w:rFonts w:ascii="Arial" w:hAnsi="Arial" w:cs="Arial"/>
        </w:rPr>
        <w:t xml:space="preserve"> Pension Scheme</w:t>
      </w:r>
      <w:r w:rsidR="00EA0C12" w:rsidRPr="001F0712">
        <w:rPr>
          <w:rFonts w:ascii="Arial" w:hAnsi="Arial" w:cs="Arial"/>
        </w:rPr>
        <w:t xml:space="preserve"> or Local Government Pension Scheme</w:t>
      </w:r>
      <w:r w:rsidRPr="001F0712">
        <w:rPr>
          <w:rFonts w:ascii="Arial" w:hAnsi="Arial" w:cs="Arial"/>
        </w:rPr>
        <w:t xml:space="preserve">, </w:t>
      </w:r>
      <w:r w:rsidR="00F44113">
        <w:rPr>
          <w:rFonts w:ascii="Arial" w:hAnsi="Arial" w:cs="Arial"/>
        </w:rPr>
        <w:t>as</w:t>
      </w:r>
      <w:r w:rsidR="00EA0C12" w:rsidRPr="001F0712">
        <w:rPr>
          <w:rFonts w:ascii="Arial" w:hAnsi="Arial" w:cs="Arial"/>
        </w:rPr>
        <w:t xml:space="preserve"> applicable</w:t>
      </w:r>
      <w:r w:rsidRPr="001F0712">
        <w:rPr>
          <w:rFonts w:ascii="Arial" w:hAnsi="Arial" w:cs="Arial"/>
        </w:rPr>
        <w:t>.</w:t>
      </w:r>
    </w:p>
    <w:p w14:paraId="2E6876F2" w14:textId="77777777" w:rsidR="00ED62A7" w:rsidRPr="001F0712" w:rsidRDefault="00ED62A7" w:rsidP="00ED62A7">
      <w:pPr>
        <w:autoSpaceDE w:val="0"/>
        <w:autoSpaceDN w:val="0"/>
        <w:adjustRightInd w:val="0"/>
        <w:ind w:left="709"/>
        <w:rPr>
          <w:rFonts w:ascii="Arial" w:hAnsi="Arial" w:cs="Arial"/>
          <w:highlight w:val="yellow"/>
        </w:rPr>
      </w:pPr>
    </w:p>
    <w:p w14:paraId="78A7E8B8" w14:textId="1FE5EC45" w:rsidR="00ED62A7" w:rsidRPr="001F0712" w:rsidRDefault="00ED62A7" w:rsidP="006E6B9D">
      <w:pPr>
        <w:numPr>
          <w:ilvl w:val="1"/>
          <w:numId w:val="1"/>
        </w:numPr>
        <w:ind w:left="709" w:right="-483" w:hanging="709"/>
        <w:rPr>
          <w:rFonts w:ascii="Arial" w:hAnsi="Arial" w:cs="Arial"/>
        </w:rPr>
      </w:pPr>
      <w:r w:rsidRPr="001F0712">
        <w:rPr>
          <w:rFonts w:ascii="Arial" w:hAnsi="Arial" w:cs="Arial"/>
        </w:rPr>
        <w:t>In the case of any redundancy payments to be made to Brigade Managers these payments will be set using</w:t>
      </w:r>
      <w:r w:rsidR="00DD0E8E" w:rsidRPr="001F0712">
        <w:rPr>
          <w:rFonts w:ascii="Arial" w:hAnsi="Arial" w:cs="Arial"/>
        </w:rPr>
        <w:t xml:space="preserve"> </w:t>
      </w:r>
      <w:r w:rsidRPr="001F0712">
        <w:rPr>
          <w:rFonts w:ascii="Arial" w:hAnsi="Arial" w:cs="Arial"/>
        </w:rPr>
        <w:t xml:space="preserve">Gold Book </w:t>
      </w:r>
      <w:r w:rsidR="00DD0E8E" w:rsidRPr="001F0712">
        <w:rPr>
          <w:rFonts w:ascii="Arial" w:hAnsi="Arial" w:cs="Arial"/>
        </w:rPr>
        <w:t>regulations</w:t>
      </w:r>
      <w:r w:rsidRPr="001F0712">
        <w:rPr>
          <w:rFonts w:ascii="Arial" w:hAnsi="Arial" w:cs="Arial"/>
        </w:rPr>
        <w:t>.  Redundancy payments will be calculated based on the statutory maximum weekly pay.</w:t>
      </w:r>
    </w:p>
    <w:p w14:paraId="5C97CDA2" w14:textId="77777777" w:rsidR="00ED62A7" w:rsidRPr="001F0712" w:rsidRDefault="00ED62A7" w:rsidP="00ED62A7">
      <w:pPr>
        <w:pStyle w:val="ListParagraph"/>
        <w:rPr>
          <w:rFonts w:ascii="Arial" w:hAnsi="Arial" w:cs="Arial"/>
        </w:rPr>
      </w:pPr>
    </w:p>
    <w:p w14:paraId="46B8A42E" w14:textId="77777777" w:rsidR="00ED62A7" w:rsidRPr="001F0712" w:rsidRDefault="00ED62A7" w:rsidP="006E6B9D">
      <w:pPr>
        <w:numPr>
          <w:ilvl w:val="1"/>
          <w:numId w:val="1"/>
        </w:numPr>
        <w:ind w:left="709" w:right="-483" w:hanging="709"/>
        <w:rPr>
          <w:rFonts w:ascii="Arial" w:hAnsi="Arial" w:cs="Arial"/>
        </w:rPr>
      </w:pPr>
      <w:r w:rsidRPr="001F0712">
        <w:rPr>
          <w:rFonts w:ascii="Arial" w:hAnsi="Arial" w:cs="Arial"/>
        </w:rPr>
        <w:lastRenderedPageBreak/>
        <w:t>Any other payments will be subject to the approval of the Authority on a case-by-case basis.</w:t>
      </w:r>
    </w:p>
    <w:p w14:paraId="6DCCAE8A" w14:textId="77777777" w:rsidR="00F85BB9" w:rsidRPr="001F0712" w:rsidRDefault="00F85BB9" w:rsidP="001F16C7">
      <w:pPr>
        <w:autoSpaceDE w:val="0"/>
        <w:autoSpaceDN w:val="0"/>
        <w:adjustRightInd w:val="0"/>
        <w:ind w:left="709"/>
        <w:rPr>
          <w:rFonts w:ascii="Arial" w:hAnsi="Arial" w:cs="Arial"/>
          <w:highlight w:val="yellow"/>
        </w:rPr>
      </w:pPr>
    </w:p>
    <w:p w14:paraId="6050E24F" w14:textId="5386CF41" w:rsidR="00ED1B95" w:rsidRPr="001F0712" w:rsidRDefault="00D87321" w:rsidP="00C31FA3">
      <w:pPr>
        <w:pStyle w:val="Heading1"/>
        <w:numPr>
          <w:ilvl w:val="0"/>
          <w:numId w:val="1"/>
        </w:numPr>
        <w:ind w:left="709" w:hanging="709"/>
        <w:rPr>
          <w:rFonts w:cs="Arial"/>
        </w:rPr>
      </w:pPr>
      <w:bookmarkStart w:id="11" w:name="_Toc194319274"/>
      <w:r w:rsidRPr="001F0712">
        <w:rPr>
          <w:rFonts w:cs="Arial"/>
        </w:rPr>
        <w:t>ALL OTHER EMPLOYEES</w:t>
      </w:r>
      <w:bookmarkEnd w:id="11"/>
      <w:r w:rsidRPr="001F0712">
        <w:rPr>
          <w:rFonts w:cs="Arial"/>
        </w:rPr>
        <w:t xml:space="preserve"> </w:t>
      </w:r>
    </w:p>
    <w:p w14:paraId="587CE06B" w14:textId="77777777" w:rsidR="004C77FF" w:rsidRPr="001F0712" w:rsidRDefault="004C77FF" w:rsidP="004C77FF">
      <w:pPr>
        <w:rPr>
          <w:rFonts w:ascii="Arial" w:hAnsi="Arial" w:cs="Arial"/>
          <w:lang w:eastAsia="en-US"/>
        </w:rPr>
      </w:pPr>
    </w:p>
    <w:p w14:paraId="08731F3E" w14:textId="51698A1C" w:rsidR="004C77FF" w:rsidRPr="001F0712" w:rsidRDefault="004C77FF" w:rsidP="004C77FF">
      <w:pPr>
        <w:pStyle w:val="Heading2"/>
        <w:numPr>
          <w:ilvl w:val="0"/>
          <w:numId w:val="0"/>
        </w:numPr>
        <w:ind w:left="709"/>
        <w:rPr>
          <w:rFonts w:cs="Arial"/>
        </w:rPr>
      </w:pPr>
      <w:bookmarkStart w:id="12" w:name="_Toc194319275"/>
      <w:r w:rsidRPr="001F0712">
        <w:rPr>
          <w:rFonts w:cs="Arial"/>
        </w:rPr>
        <w:t>Remuneration</w:t>
      </w:r>
      <w:bookmarkEnd w:id="12"/>
    </w:p>
    <w:p w14:paraId="1A06EC69" w14:textId="77777777" w:rsidR="00D87321" w:rsidRPr="001F0712" w:rsidRDefault="00D87321" w:rsidP="00617B14">
      <w:pPr>
        <w:autoSpaceDE w:val="0"/>
        <w:autoSpaceDN w:val="0"/>
        <w:adjustRightInd w:val="0"/>
        <w:ind w:right="-483"/>
        <w:rPr>
          <w:rFonts w:ascii="Arial" w:hAnsi="Arial" w:cs="Arial"/>
          <w:sz w:val="14"/>
          <w:szCs w:val="14"/>
        </w:rPr>
      </w:pPr>
    </w:p>
    <w:p w14:paraId="09FCB2EA" w14:textId="6119BFBD" w:rsidR="00983C50" w:rsidRPr="001F0712" w:rsidRDefault="00983C50" w:rsidP="00983C50">
      <w:pPr>
        <w:pStyle w:val="Heading3"/>
        <w:ind w:left="709"/>
        <w:jc w:val="left"/>
        <w:rPr>
          <w:rFonts w:cs="Arial"/>
          <w:b w:val="0"/>
          <w:bCs/>
          <w:u w:val="single"/>
        </w:rPr>
      </w:pPr>
      <w:bookmarkStart w:id="13" w:name="_Toc194319276"/>
      <w:r w:rsidRPr="001F0712">
        <w:rPr>
          <w:rFonts w:cs="Arial"/>
          <w:b w:val="0"/>
          <w:bCs/>
          <w:u w:val="single"/>
        </w:rPr>
        <w:t xml:space="preserve">Green Book </w:t>
      </w:r>
      <w:r w:rsidR="00F61809">
        <w:rPr>
          <w:rFonts w:cs="Arial"/>
          <w:b w:val="0"/>
          <w:bCs/>
          <w:u w:val="single"/>
        </w:rPr>
        <w:t>e</w:t>
      </w:r>
      <w:r w:rsidRPr="001F0712">
        <w:rPr>
          <w:rFonts w:cs="Arial"/>
          <w:b w:val="0"/>
          <w:bCs/>
          <w:u w:val="single"/>
        </w:rPr>
        <w:t>mployees</w:t>
      </w:r>
      <w:bookmarkEnd w:id="13"/>
    </w:p>
    <w:p w14:paraId="61069BF2" w14:textId="30B8D3A3" w:rsidR="00ED1B95" w:rsidRDefault="00ED1B95" w:rsidP="006E6B9D">
      <w:pPr>
        <w:numPr>
          <w:ilvl w:val="1"/>
          <w:numId w:val="1"/>
        </w:numPr>
        <w:ind w:left="709" w:right="-483" w:hanging="709"/>
        <w:rPr>
          <w:rFonts w:ascii="Arial" w:hAnsi="Arial" w:cs="Arial"/>
        </w:rPr>
      </w:pPr>
      <w:r w:rsidRPr="001F0712">
        <w:rPr>
          <w:rFonts w:ascii="Arial" w:hAnsi="Arial" w:cs="Arial"/>
        </w:rPr>
        <w:t xml:space="preserve">Salaries of Green Book employees in the Service are set using </w:t>
      </w:r>
      <w:r w:rsidR="001E59C2" w:rsidRPr="001F0712">
        <w:rPr>
          <w:rFonts w:ascii="Arial" w:hAnsi="Arial" w:cs="Arial"/>
        </w:rPr>
        <w:t xml:space="preserve">nationally agreed </w:t>
      </w:r>
      <w:r w:rsidR="00A426F8">
        <w:rPr>
          <w:rFonts w:ascii="Arial" w:hAnsi="Arial" w:cs="Arial"/>
        </w:rPr>
        <w:t xml:space="preserve">NJC </w:t>
      </w:r>
      <w:r w:rsidRPr="001F0712">
        <w:rPr>
          <w:rFonts w:ascii="Arial" w:hAnsi="Arial" w:cs="Arial"/>
        </w:rPr>
        <w:t xml:space="preserve">pay scales and the </w:t>
      </w:r>
      <w:r w:rsidR="00171750" w:rsidRPr="001F0712">
        <w:rPr>
          <w:rFonts w:ascii="Arial" w:hAnsi="Arial" w:cs="Arial"/>
        </w:rPr>
        <w:t>NJC’s</w:t>
      </w:r>
      <w:r w:rsidRPr="001F0712">
        <w:rPr>
          <w:rFonts w:ascii="Arial" w:hAnsi="Arial" w:cs="Arial"/>
        </w:rPr>
        <w:t xml:space="preserve"> Job Evaluation</w:t>
      </w:r>
      <w:r w:rsidR="001E59C2" w:rsidRPr="001F0712">
        <w:rPr>
          <w:rFonts w:ascii="Arial" w:hAnsi="Arial" w:cs="Arial"/>
        </w:rPr>
        <w:t xml:space="preserve"> </w:t>
      </w:r>
      <w:r w:rsidRPr="001F0712">
        <w:rPr>
          <w:rFonts w:ascii="Arial" w:hAnsi="Arial" w:cs="Arial"/>
        </w:rPr>
        <w:t>Scheme.</w:t>
      </w:r>
    </w:p>
    <w:p w14:paraId="3D399B24" w14:textId="77777777" w:rsidR="009224D5" w:rsidRDefault="009224D5" w:rsidP="009224D5">
      <w:pPr>
        <w:autoSpaceDE w:val="0"/>
        <w:autoSpaceDN w:val="0"/>
        <w:adjustRightInd w:val="0"/>
        <w:ind w:left="709"/>
        <w:rPr>
          <w:rFonts w:ascii="Arial" w:hAnsi="Arial" w:cs="Arial"/>
        </w:rPr>
      </w:pPr>
    </w:p>
    <w:p w14:paraId="3D984153" w14:textId="17A7D428" w:rsidR="008353B2" w:rsidRPr="001F0712" w:rsidRDefault="008353B2" w:rsidP="006E6B9D">
      <w:pPr>
        <w:numPr>
          <w:ilvl w:val="1"/>
          <w:numId w:val="1"/>
        </w:numPr>
        <w:ind w:left="709" w:right="-483" w:hanging="709"/>
        <w:rPr>
          <w:rFonts w:ascii="Arial" w:hAnsi="Arial" w:cs="Arial"/>
        </w:rPr>
      </w:pPr>
      <w:r>
        <w:rPr>
          <w:rFonts w:ascii="Arial" w:hAnsi="Arial" w:cs="Arial"/>
        </w:rPr>
        <w:t xml:space="preserve">Green Book employees are entitled to join the Local Government </w:t>
      </w:r>
      <w:r w:rsidR="00E34754">
        <w:rPr>
          <w:rFonts w:ascii="Arial" w:hAnsi="Arial" w:cs="Arial"/>
        </w:rPr>
        <w:t xml:space="preserve">Pension Scheme; the employer costs associated with admission </w:t>
      </w:r>
      <w:r w:rsidR="00FB0C6E">
        <w:rPr>
          <w:rFonts w:ascii="Arial" w:hAnsi="Arial" w:cs="Arial"/>
        </w:rPr>
        <w:t>(currently 17.8%</w:t>
      </w:r>
      <w:r w:rsidR="009B44A5">
        <w:rPr>
          <w:rFonts w:ascii="Arial" w:hAnsi="Arial" w:cs="Arial"/>
        </w:rPr>
        <w:t xml:space="preserve"> of salary</w:t>
      </w:r>
      <w:r w:rsidR="00FB0C6E">
        <w:rPr>
          <w:rFonts w:ascii="Arial" w:hAnsi="Arial" w:cs="Arial"/>
        </w:rPr>
        <w:t xml:space="preserve">) </w:t>
      </w:r>
      <w:r w:rsidR="00E34754">
        <w:rPr>
          <w:rFonts w:ascii="Arial" w:hAnsi="Arial" w:cs="Arial"/>
        </w:rPr>
        <w:t xml:space="preserve">are set </w:t>
      </w:r>
      <w:r w:rsidR="009224D5">
        <w:rPr>
          <w:rFonts w:ascii="Arial" w:hAnsi="Arial" w:cs="Arial"/>
        </w:rPr>
        <w:t>out in Annex 1.</w:t>
      </w:r>
    </w:p>
    <w:p w14:paraId="55997226" w14:textId="77777777" w:rsidR="00656098" w:rsidRPr="001F0712" w:rsidRDefault="00656098" w:rsidP="001F16C7">
      <w:pPr>
        <w:autoSpaceDE w:val="0"/>
        <w:autoSpaceDN w:val="0"/>
        <w:adjustRightInd w:val="0"/>
        <w:ind w:left="720"/>
        <w:rPr>
          <w:rFonts w:ascii="Arial" w:hAnsi="Arial" w:cs="Arial"/>
          <w:highlight w:val="yellow"/>
        </w:rPr>
      </w:pPr>
    </w:p>
    <w:p w14:paraId="730EB2B5" w14:textId="59C22609" w:rsidR="00983C50" w:rsidRPr="001F0712" w:rsidRDefault="00983C50" w:rsidP="00983C50">
      <w:pPr>
        <w:pStyle w:val="Heading3"/>
        <w:ind w:left="709"/>
        <w:jc w:val="left"/>
        <w:rPr>
          <w:rFonts w:cs="Arial"/>
          <w:b w:val="0"/>
          <w:bCs/>
          <w:u w:val="single"/>
        </w:rPr>
      </w:pPr>
      <w:bookmarkStart w:id="14" w:name="_Toc194319277"/>
      <w:r w:rsidRPr="001F0712">
        <w:rPr>
          <w:rFonts w:cs="Arial"/>
          <w:b w:val="0"/>
          <w:bCs/>
          <w:u w:val="single"/>
        </w:rPr>
        <w:t xml:space="preserve">Grey Book </w:t>
      </w:r>
      <w:r w:rsidR="00F61809">
        <w:rPr>
          <w:rFonts w:cs="Arial"/>
          <w:b w:val="0"/>
          <w:bCs/>
          <w:u w:val="single"/>
        </w:rPr>
        <w:t>e</w:t>
      </w:r>
      <w:r w:rsidRPr="001F0712">
        <w:rPr>
          <w:rFonts w:cs="Arial"/>
          <w:b w:val="0"/>
          <w:bCs/>
          <w:u w:val="single"/>
        </w:rPr>
        <w:t>mployees</w:t>
      </w:r>
      <w:bookmarkEnd w:id="14"/>
    </w:p>
    <w:p w14:paraId="7BACB20A" w14:textId="21FCE147" w:rsidR="00ED1B95" w:rsidRDefault="00ED1B95" w:rsidP="006E6B9D">
      <w:pPr>
        <w:numPr>
          <w:ilvl w:val="1"/>
          <w:numId w:val="1"/>
        </w:numPr>
        <w:ind w:left="709" w:right="-483" w:hanging="709"/>
        <w:rPr>
          <w:rFonts w:ascii="Arial" w:hAnsi="Arial" w:cs="Arial"/>
        </w:rPr>
      </w:pPr>
      <w:r w:rsidRPr="001F0712">
        <w:rPr>
          <w:rFonts w:ascii="Arial" w:hAnsi="Arial" w:cs="Arial"/>
        </w:rPr>
        <w:t>Salaries of Grey Book employees are set using nationally</w:t>
      </w:r>
      <w:r w:rsidR="001E59C2" w:rsidRPr="001F0712">
        <w:rPr>
          <w:rFonts w:ascii="Arial" w:hAnsi="Arial" w:cs="Arial"/>
        </w:rPr>
        <w:t xml:space="preserve"> </w:t>
      </w:r>
      <w:r w:rsidRPr="001F0712">
        <w:rPr>
          <w:rFonts w:ascii="Arial" w:hAnsi="Arial" w:cs="Arial"/>
        </w:rPr>
        <w:t xml:space="preserve">agreed </w:t>
      </w:r>
      <w:r w:rsidR="00A426F8">
        <w:rPr>
          <w:rFonts w:ascii="Arial" w:hAnsi="Arial" w:cs="Arial"/>
        </w:rPr>
        <w:t xml:space="preserve">NJC </w:t>
      </w:r>
      <w:r w:rsidRPr="001F0712">
        <w:rPr>
          <w:rFonts w:ascii="Arial" w:hAnsi="Arial" w:cs="Arial"/>
        </w:rPr>
        <w:t>pay levels.</w:t>
      </w:r>
    </w:p>
    <w:p w14:paraId="267234C8" w14:textId="77777777" w:rsidR="009224D5" w:rsidRPr="001F0712" w:rsidRDefault="009224D5" w:rsidP="009224D5">
      <w:pPr>
        <w:autoSpaceDE w:val="0"/>
        <w:autoSpaceDN w:val="0"/>
        <w:adjustRightInd w:val="0"/>
        <w:ind w:left="709"/>
        <w:rPr>
          <w:rFonts w:ascii="Arial" w:hAnsi="Arial" w:cs="Arial"/>
        </w:rPr>
      </w:pPr>
    </w:p>
    <w:p w14:paraId="609EE2B8" w14:textId="1226A35A" w:rsidR="009224D5" w:rsidRPr="001F0712" w:rsidRDefault="009224D5" w:rsidP="006E6B9D">
      <w:pPr>
        <w:numPr>
          <w:ilvl w:val="1"/>
          <w:numId w:val="1"/>
        </w:numPr>
        <w:ind w:left="709" w:right="-483" w:hanging="709"/>
        <w:rPr>
          <w:rFonts w:ascii="Arial" w:hAnsi="Arial" w:cs="Arial"/>
        </w:rPr>
      </w:pPr>
      <w:r>
        <w:rPr>
          <w:rFonts w:ascii="Arial" w:hAnsi="Arial" w:cs="Arial"/>
        </w:rPr>
        <w:t xml:space="preserve">Grey Book employees are entitled to join the Firefighters’ Pension Scheme; the employer costs associated with admission </w:t>
      </w:r>
      <w:r w:rsidR="009B44A5">
        <w:rPr>
          <w:rFonts w:ascii="Arial" w:hAnsi="Arial" w:cs="Arial"/>
        </w:rPr>
        <w:t xml:space="preserve">(currently </w:t>
      </w:r>
      <w:r w:rsidR="009D61F0">
        <w:rPr>
          <w:rFonts w:ascii="Arial" w:hAnsi="Arial" w:cs="Arial"/>
        </w:rPr>
        <w:t>3</w:t>
      </w:r>
      <w:r w:rsidR="009B44A5">
        <w:rPr>
          <w:rFonts w:ascii="Arial" w:hAnsi="Arial" w:cs="Arial"/>
        </w:rPr>
        <w:t>7.</w:t>
      </w:r>
      <w:r w:rsidR="009D61F0">
        <w:rPr>
          <w:rFonts w:ascii="Arial" w:hAnsi="Arial" w:cs="Arial"/>
        </w:rPr>
        <w:t>6</w:t>
      </w:r>
      <w:r w:rsidR="009B44A5">
        <w:rPr>
          <w:rFonts w:ascii="Arial" w:hAnsi="Arial" w:cs="Arial"/>
        </w:rPr>
        <w:t xml:space="preserve">% of salary) </w:t>
      </w:r>
      <w:r>
        <w:rPr>
          <w:rFonts w:ascii="Arial" w:hAnsi="Arial" w:cs="Arial"/>
        </w:rPr>
        <w:t>are set out in Annex 2.</w:t>
      </w:r>
    </w:p>
    <w:p w14:paraId="2B3731B4" w14:textId="77777777" w:rsidR="00656098" w:rsidRPr="001F0712" w:rsidRDefault="00656098" w:rsidP="001F16C7">
      <w:pPr>
        <w:autoSpaceDE w:val="0"/>
        <w:autoSpaceDN w:val="0"/>
        <w:adjustRightInd w:val="0"/>
        <w:ind w:left="720"/>
        <w:rPr>
          <w:rFonts w:ascii="Arial" w:hAnsi="Arial" w:cs="Arial"/>
        </w:rPr>
      </w:pPr>
    </w:p>
    <w:p w14:paraId="63B8E712" w14:textId="77777777" w:rsidR="00AD3CCB" w:rsidRPr="001F0712" w:rsidRDefault="00AD3CCB" w:rsidP="00AD3CCB">
      <w:pPr>
        <w:pStyle w:val="Heading2"/>
        <w:numPr>
          <w:ilvl w:val="0"/>
          <w:numId w:val="0"/>
        </w:numPr>
        <w:ind w:left="709"/>
        <w:rPr>
          <w:rFonts w:cs="Arial"/>
          <w:b w:val="0"/>
          <w:bCs/>
        </w:rPr>
      </w:pPr>
      <w:bookmarkStart w:id="15" w:name="_Toc194319278"/>
      <w:r w:rsidRPr="001F0712">
        <w:rPr>
          <w:rFonts w:cs="Arial"/>
          <w:bCs/>
        </w:rPr>
        <w:t>Payment on termination of employment</w:t>
      </w:r>
      <w:bookmarkEnd w:id="15"/>
      <w:r w:rsidRPr="001F0712">
        <w:rPr>
          <w:rFonts w:cs="Arial"/>
          <w:bCs/>
        </w:rPr>
        <w:t xml:space="preserve"> </w:t>
      </w:r>
    </w:p>
    <w:p w14:paraId="31CD3045" w14:textId="77777777" w:rsidR="00AD3CCB" w:rsidRPr="001F0712" w:rsidRDefault="00AD3CCB" w:rsidP="00AD3CCB">
      <w:pPr>
        <w:autoSpaceDE w:val="0"/>
        <w:autoSpaceDN w:val="0"/>
        <w:adjustRightInd w:val="0"/>
        <w:ind w:left="709"/>
        <w:rPr>
          <w:rFonts w:ascii="Arial" w:hAnsi="Arial" w:cs="Arial"/>
          <w:b/>
        </w:rPr>
      </w:pPr>
    </w:p>
    <w:p w14:paraId="27C18FAC" w14:textId="37265FDE" w:rsidR="00AD3CCB" w:rsidRPr="001F0712" w:rsidRDefault="00AD3CCB" w:rsidP="00AD3CCB">
      <w:pPr>
        <w:pStyle w:val="Heading3"/>
        <w:ind w:left="709"/>
        <w:jc w:val="left"/>
        <w:rPr>
          <w:rFonts w:cs="Arial"/>
          <w:b w:val="0"/>
          <w:bCs/>
          <w:u w:val="single"/>
        </w:rPr>
      </w:pPr>
      <w:bookmarkStart w:id="16" w:name="_Toc194319279"/>
      <w:r w:rsidRPr="001F0712">
        <w:rPr>
          <w:rFonts w:cs="Arial"/>
          <w:b w:val="0"/>
          <w:bCs/>
          <w:u w:val="single"/>
        </w:rPr>
        <w:t xml:space="preserve">Green Book </w:t>
      </w:r>
      <w:r w:rsidR="00F61809">
        <w:rPr>
          <w:rFonts w:cs="Arial"/>
          <w:b w:val="0"/>
          <w:bCs/>
          <w:u w:val="single"/>
        </w:rPr>
        <w:t>e</w:t>
      </w:r>
      <w:r w:rsidRPr="001F0712">
        <w:rPr>
          <w:rFonts w:cs="Arial"/>
          <w:b w:val="0"/>
          <w:bCs/>
          <w:u w:val="single"/>
        </w:rPr>
        <w:t>mployees</w:t>
      </w:r>
      <w:bookmarkEnd w:id="16"/>
    </w:p>
    <w:p w14:paraId="47B193B3" w14:textId="77777777" w:rsidR="00AD3CCB" w:rsidRPr="001F0712" w:rsidRDefault="00AD3CCB" w:rsidP="006E6B9D">
      <w:pPr>
        <w:numPr>
          <w:ilvl w:val="1"/>
          <w:numId w:val="1"/>
        </w:numPr>
        <w:ind w:left="709" w:right="-483" w:hanging="709"/>
        <w:rPr>
          <w:rFonts w:ascii="Arial" w:hAnsi="Arial" w:cs="Arial"/>
        </w:rPr>
      </w:pPr>
      <w:r w:rsidRPr="001F0712">
        <w:rPr>
          <w:rFonts w:ascii="Arial" w:hAnsi="Arial" w:cs="Arial"/>
        </w:rPr>
        <w:t>The payment to Green Book employees on the ceasing of their employment will be in line with the benefits accrued through meeting the qualifying requirements of the relevant Pension Scheme, assuming they are a member of a relevant pension scheme.</w:t>
      </w:r>
    </w:p>
    <w:p w14:paraId="027C082E" w14:textId="77777777" w:rsidR="00AD3CCB" w:rsidRPr="001F0712" w:rsidRDefault="00AD3CCB" w:rsidP="00AD3CCB">
      <w:pPr>
        <w:autoSpaceDE w:val="0"/>
        <w:autoSpaceDN w:val="0"/>
        <w:adjustRightInd w:val="0"/>
        <w:ind w:left="709"/>
        <w:rPr>
          <w:rFonts w:ascii="Arial" w:hAnsi="Arial" w:cs="Arial"/>
        </w:rPr>
      </w:pPr>
    </w:p>
    <w:p w14:paraId="6B52917E" w14:textId="77777777" w:rsidR="00AD3CCB" w:rsidRPr="001F0712" w:rsidRDefault="00AD3CCB" w:rsidP="006E6B9D">
      <w:pPr>
        <w:numPr>
          <w:ilvl w:val="1"/>
          <w:numId w:val="1"/>
        </w:numPr>
        <w:ind w:left="709" w:right="-483" w:hanging="709"/>
        <w:rPr>
          <w:rFonts w:ascii="Arial" w:hAnsi="Arial" w:cs="Arial"/>
        </w:rPr>
      </w:pPr>
      <w:r w:rsidRPr="001F0712">
        <w:rPr>
          <w:rFonts w:ascii="Arial" w:hAnsi="Arial" w:cs="Arial"/>
        </w:rPr>
        <w:t>In the case of any redundancy payments to be made to Green Book Employees these payments will be set using the existing regulations for Green Book employees.  Redundancy payments are calculated based on the actual weekly pay.</w:t>
      </w:r>
    </w:p>
    <w:p w14:paraId="59A4853C" w14:textId="77777777" w:rsidR="00AD3CCB" w:rsidRPr="001F0712" w:rsidRDefault="00AD3CCB" w:rsidP="00AD3CCB">
      <w:pPr>
        <w:autoSpaceDE w:val="0"/>
        <w:autoSpaceDN w:val="0"/>
        <w:adjustRightInd w:val="0"/>
        <w:ind w:left="709" w:hanging="709"/>
        <w:rPr>
          <w:rFonts w:ascii="Arial" w:hAnsi="Arial" w:cs="Arial"/>
        </w:rPr>
      </w:pPr>
    </w:p>
    <w:p w14:paraId="1798464F" w14:textId="77777777" w:rsidR="00AD3CCB" w:rsidRPr="001F0712" w:rsidRDefault="00AD3CCB" w:rsidP="006E6B9D">
      <w:pPr>
        <w:numPr>
          <w:ilvl w:val="1"/>
          <w:numId w:val="1"/>
        </w:numPr>
        <w:ind w:left="709" w:right="-483" w:hanging="709"/>
        <w:rPr>
          <w:rFonts w:ascii="Arial" w:hAnsi="Arial" w:cs="Arial"/>
        </w:rPr>
      </w:pPr>
      <w:r w:rsidRPr="001F0712">
        <w:rPr>
          <w:rFonts w:ascii="Arial" w:hAnsi="Arial" w:cs="Arial"/>
        </w:rPr>
        <w:t>If the affected employee is a member of the Local Government Pension Scheme, in the case of redundancy the guidance contained within the pension policy statement will apply under the existing conditions of the Local Government Pension Scheme.</w:t>
      </w:r>
    </w:p>
    <w:p w14:paraId="47CE13AC" w14:textId="77777777" w:rsidR="00AD3CCB" w:rsidRPr="001F0712" w:rsidRDefault="00AD3CCB" w:rsidP="00AD3CCB">
      <w:pPr>
        <w:autoSpaceDE w:val="0"/>
        <w:autoSpaceDN w:val="0"/>
        <w:adjustRightInd w:val="0"/>
        <w:ind w:left="709"/>
        <w:rPr>
          <w:rFonts w:ascii="Arial" w:hAnsi="Arial" w:cs="Arial"/>
        </w:rPr>
      </w:pPr>
    </w:p>
    <w:p w14:paraId="47D5988F" w14:textId="534504DA" w:rsidR="00AD3CCB" w:rsidRPr="001F0712" w:rsidRDefault="00AD3CCB" w:rsidP="00AD3CCB">
      <w:pPr>
        <w:pStyle w:val="Heading3"/>
        <w:ind w:left="709"/>
        <w:jc w:val="left"/>
        <w:rPr>
          <w:rFonts w:cs="Arial"/>
          <w:b w:val="0"/>
          <w:bCs/>
          <w:u w:val="single"/>
        </w:rPr>
      </w:pPr>
      <w:bookmarkStart w:id="17" w:name="_Toc194319280"/>
      <w:r w:rsidRPr="001F0712">
        <w:rPr>
          <w:rFonts w:cs="Arial"/>
          <w:b w:val="0"/>
          <w:bCs/>
          <w:u w:val="single"/>
        </w:rPr>
        <w:t xml:space="preserve">Grey Book </w:t>
      </w:r>
      <w:r w:rsidR="00F61809">
        <w:rPr>
          <w:rFonts w:cs="Arial"/>
          <w:b w:val="0"/>
          <w:bCs/>
          <w:u w:val="single"/>
        </w:rPr>
        <w:t>e</w:t>
      </w:r>
      <w:r w:rsidRPr="001F0712">
        <w:rPr>
          <w:rFonts w:cs="Arial"/>
          <w:b w:val="0"/>
          <w:bCs/>
          <w:u w:val="single"/>
        </w:rPr>
        <w:t>mployees</w:t>
      </w:r>
      <w:bookmarkEnd w:id="17"/>
    </w:p>
    <w:p w14:paraId="684A6F14" w14:textId="77777777" w:rsidR="00AD3CCB" w:rsidRPr="001F0712" w:rsidRDefault="00AD3CCB" w:rsidP="006E6B9D">
      <w:pPr>
        <w:numPr>
          <w:ilvl w:val="1"/>
          <w:numId w:val="1"/>
        </w:numPr>
        <w:ind w:left="709" w:right="-483" w:hanging="709"/>
        <w:rPr>
          <w:rFonts w:ascii="Arial" w:hAnsi="Arial" w:cs="Arial"/>
        </w:rPr>
      </w:pPr>
      <w:r w:rsidRPr="001F0712">
        <w:rPr>
          <w:rFonts w:ascii="Arial" w:hAnsi="Arial" w:cs="Arial"/>
        </w:rPr>
        <w:t>The payment to Grey Book Employees on the ceasing of their employment will be in line with the benefits accrued through meeting the qualifying requirements of the relevant pension scheme, assuming they are a member of a relevant pension scheme.</w:t>
      </w:r>
    </w:p>
    <w:p w14:paraId="0A9436E6" w14:textId="77777777" w:rsidR="00AD3CCB" w:rsidRPr="001F0712" w:rsidRDefault="00AD3CCB" w:rsidP="00AD3CCB">
      <w:pPr>
        <w:autoSpaceDE w:val="0"/>
        <w:autoSpaceDN w:val="0"/>
        <w:adjustRightInd w:val="0"/>
        <w:ind w:left="709"/>
        <w:rPr>
          <w:rFonts w:ascii="Arial" w:hAnsi="Arial" w:cs="Arial"/>
        </w:rPr>
      </w:pPr>
    </w:p>
    <w:p w14:paraId="730AC6DB" w14:textId="77777777" w:rsidR="00AD3CCB" w:rsidRPr="001F0712" w:rsidRDefault="00AD3CCB" w:rsidP="006E6B9D">
      <w:pPr>
        <w:numPr>
          <w:ilvl w:val="1"/>
          <w:numId w:val="1"/>
        </w:numPr>
        <w:ind w:left="709" w:right="-483" w:hanging="709"/>
        <w:rPr>
          <w:rFonts w:ascii="Arial" w:hAnsi="Arial" w:cs="Arial"/>
        </w:rPr>
      </w:pPr>
      <w:r w:rsidRPr="001F0712">
        <w:rPr>
          <w:rFonts w:ascii="Arial" w:hAnsi="Arial" w:cs="Arial"/>
        </w:rPr>
        <w:t>In the case of any redundancy payments to be made to Grey Book employees these payments will be set using the existing Redundancy Policy regulations for Grey Book employees. Redundancy payments will be calculated based on the actual weekly pay.</w:t>
      </w:r>
    </w:p>
    <w:p w14:paraId="0ADA7963" w14:textId="77777777" w:rsidR="00AD3CCB" w:rsidRPr="001F0712" w:rsidRDefault="00AD3CCB" w:rsidP="001F16C7">
      <w:pPr>
        <w:autoSpaceDE w:val="0"/>
        <w:autoSpaceDN w:val="0"/>
        <w:adjustRightInd w:val="0"/>
        <w:ind w:left="720"/>
        <w:rPr>
          <w:rFonts w:ascii="Arial" w:hAnsi="Arial" w:cs="Arial"/>
        </w:rPr>
      </w:pPr>
    </w:p>
    <w:p w14:paraId="253DE51A" w14:textId="77777777" w:rsidR="00AD3CCB" w:rsidRPr="001F0712" w:rsidRDefault="00AD3CCB" w:rsidP="001F16C7">
      <w:pPr>
        <w:autoSpaceDE w:val="0"/>
        <w:autoSpaceDN w:val="0"/>
        <w:adjustRightInd w:val="0"/>
        <w:ind w:left="720"/>
        <w:rPr>
          <w:rFonts w:ascii="Arial" w:hAnsi="Arial" w:cs="Arial"/>
        </w:rPr>
      </w:pPr>
    </w:p>
    <w:p w14:paraId="7F7A9AD5" w14:textId="77777777" w:rsidR="007D5863" w:rsidRPr="001F0712" w:rsidRDefault="00C27EF0" w:rsidP="00B57500">
      <w:pPr>
        <w:pStyle w:val="Heading1"/>
        <w:numPr>
          <w:ilvl w:val="0"/>
          <w:numId w:val="1"/>
        </w:numPr>
        <w:ind w:left="709" w:hanging="709"/>
        <w:rPr>
          <w:rFonts w:cs="Arial"/>
        </w:rPr>
      </w:pPr>
      <w:bookmarkStart w:id="18" w:name="_Toc194319281"/>
      <w:r w:rsidRPr="001F0712">
        <w:rPr>
          <w:rFonts w:cs="Arial"/>
        </w:rPr>
        <w:t>PAY</w:t>
      </w:r>
      <w:r w:rsidR="00F85BB9" w:rsidRPr="001F0712">
        <w:rPr>
          <w:rFonts w:cs="Arial"/>
        </w:rPr>
        <w:t xml:space="preserve"> </w:t>
      </w:r>
      <w:r w:rsidRPr="001F0712">
        <w:rPr>
          <w:rFonts w:cs="Arial"/>
        </w:rPr>
        <w:t>AWARDS</w:t>
      </w:r>
      <w:bookmarkEnd w:id="18"/>
    </w:p>
    <w:p w14:paraId="249F2239" w14:textId="02C05EC2" w:rsidR="00ED1B95" w:rsidRPr="001F0712" w:rsidRDefault="00E014D9" w:rsidP="006E6B9D">
      <w:pPr>
        <w:numPr>
          <w:ilvl w:val="1"/>
          <w:numId w:val="1"/>
        </w:numPr>
        <w:ind w:left="709" w:right="-483" w:hanging="709"/>
        <w:rPr>
          <w:rFonts w:ascii="Arial" w:hAnsi="Arial" w:cs="Arial"/>
        </w:rPr>
      </w:pPr>
      <w:r w:rsidRPr="001F0712">
        <w:rPr>
          <w:rFonts w:ascii="Arial" w:hAnsi="Arial" w:cs="Arial"/>
        </w:rPr>
        <w:t xml:space="preserve">Where </w:t>
      </w:r>
      <w:r w:rsidR="00617B14" w:rsidRPr="001F0712">
        <w:rPr>
          <w:rFonts w:ascii="Arial" w:hAnsi="Arial" w:cs="Arial"/>
        </w:rPr>
        <w:t>n</w:t>
      </w:r>
      <w:r w:rsidR="00ED1B95" w:rsidRPr="001F0712">
        <w:rPr>
          <w:rFonts w:ascii="Arial" w:hAnsi="Arial" w:cs="Arial"/>
        </w:rPr>
        <w:t xml:space="preserve">ational </w:t>
      </w:r>
      <w:r w:rsidR="00617B14" w:rsidRPr="001F0712">
        <w:rPr>
          <w:rFonts w:ascii="Arial" w:hAnsi="Arial" w:cs="Arial"/>
        </w:rPr>
        <w:t>p</w:t>
      </w:r>
      <w:r w:rsidR="00ED1B95" w:rsidRPr="001F0712">
        <w:rPr>
          <w:rFonts w:ascii="Arial" w:hAnsi="Arial" w:cs="Arial"/>
        </w:rPr>
        <w:t xml:space="preserve">ay </w:t>
      </w:r>
      <w:r w:rsidR="00617B14" w:rsidRPr="001F0712">
        <w:rPr>
          <w:rFonts w:ascii="Arial" w:hAnsi="Arial" w:cs="Arial"/>
        </w:rPr>
        <w:t>a</w:t>
      </w:r>
      <w:r w:rsidR="00ED1B95" w:rsidRPr="001F0712">
        <w:rPr>
          <w:rFonts w:ascii="Arial" w:hAnsi="Arial" w:cs="Arial"/>
        </w:rPr>
        <w:t xml:space="preserve">wards are </w:t>
      </w:r>
      <w:r w:rsidRPr="001F0712">
        <w:rPr>
          <w:rFonts w:ascii="Arial" w:hAnsi="Arial" w:cs="Arial"/>
        </w:rPr>
        <w:t>agreed</w:t>
      </w:r>
      <w:r w:rsidR="00553C38" w:rsidRPr="001F0712">
        <w:rPr>
          <w:rFonts w:ascii="Arial" w:hAnsi="Arial" w:cs="Arial"/>
        </w:rPr>
        <w:t>, changes</w:t>
      </w:r>
      <w:r w:rsidRPr="001F0712">
        <w:rPr>
          <w:rFonts w:ascii="Arial" w:hAnsi="Arial" w:cs="Arial"/>
        </w:rPr>
        <w:t xml:space="preserve"> are</w:t>
      </w:r>
      <w:r w:rsidR="00ED1B95" w:rsidRPr="001F0712">
        <w:rPr>
          <w:rFonts w:ascii="Arial" w:hAnsi="Arial" w:cs="Arial"/>
        </w:rPr>
        <w:t xml:space="preserve"> made to pay scales on an annual basis</w:t>
      </w:r>
      <w:r w:rsidRPr="001F0712">
        <w:rPr>
          <w:rFonts w:ascii="Arial" w:hAnsi="Arial" w:cs="Arial"/>
        </w:rPr>
        <w:t xml:space="preserve"> </w:t>
      </w:r>
      <w:r w:rsidR="00ED1B95" w:rsidRPr="001F0712">
        <w:rPr>
          <w:rFonts w:ascii="Arial" w:hAnsi="Arial" w:cs="Arial"/>
        </w:rPr>
        <w:t xml:space="preserve">and these </w:t>
      </w:r>
      <w:r w:rsidR="00553C38" w:rsidRPr="001F0712">
        <w:rPr>
          <w:rFonts w:ascii="Arial" w:hAnsi="Arial" w:cs="Arial"/>
        </w:rPr>
        <w:t xml:space="preserve">updated </w:t>
      </w:r>
      <w:r w:rsidR="00ED1B95" w:rsidRPr="001F0712">
        <w:rPr>
          <w:rFonts w:ascii="Arial" w:hAnsi="Arial" w:cs="Arial"/>
        </w:rPr>
        <w:t xml:space="preserve">pay </w:t>
      </w:r>
      <w:r w:rsidR="00553C38" w:rsidRPr="001F0712">
        <w:rPr>
          <w:rFonts w:ascii="Arial" w:hAnsi="Arial" w:cs="Arial"/>
        </w:rPr>
        <w:t>scales</w:t>
      </w:r>
      <w:r w:rsidR="00ED1B95" w:rsidRPr="001F0712">
        <w:rPr>
          <w:rFonts w:ascii="Arial" w:hAnsi="Arial" w:cs="Arial"/>
        </w:rPr>
        <w:t xml:space="preserve"> are applied to all employees. This annual award</w:t>
      </w:r>
      <w:r w:rsidRPr="001F0712">
        <w:rPr>
          <w:rFonts w:ascii="Arial" w:hAnsi="Arial" w:cs="Arial"/>
        </w:rPr>
        <w:t xml:space="preserve"> </w:t>
      </w:r>
      <w:r w:rsidR="00ED1B95" w:rsidRPr="001F0712">
        <w:rPr>
          <w:rFonts w:ascii="Arial" w:hAnsi="Arial" w:cs="Arial"/>
        </w:rPr>
        <w:t xml:space="preserve">is </w:t>
      </w:r>
      <w:r w:rsidR="001A1F88" w:rsidRPr="001F0712">
        <w:rPr>
          <w:rFonts w:ascii="Arial" w:hAnsi="Arial" w:cs="Arial"/>
        </w:rPr>
        <w:t xml:space="preserve">normally </w:t>
      </w:r>
      <w:r w:rsidR="00AC2F67" w:rsidRPr="001F0712">
        <w:rPr>
          <w:rFonts w:ascii="Arial" w:hAnsi="Arial" w:cs="Arial"/>
        </w:rPr>
        <w:t>applied</w:t>
      </w:r>
      <w:r w:rsidR="00ED1B95" w:rsidRPr="001F0712">
        <w:rPr>
          <w:rFonts w:ascii="Arial" w:hAnsi="Arial" w:cs="Arial"/>
        </w:rPr>
        <w:t xml:space="preserve"> in April for Green Book </w:t>
      </w:r>
      <w:r w:rsidR="005E43BD" w:rsidRPr="001F0712">
        <w:rPr>
          <w:rFonts w:ascii="Arial" w:hAnsi="Arial" w:cs="Arial"/>
        </w:rPr>
        <w:t>e</w:t>
      </w:r>
      <w:r w:rsidR="00ED1B95" w:rsidRPr="001F0712">
        <w:rPr>
          <w:rFonts w:ascii="Arial" w:hAnsi="Arial" w:cs="Arial"/>
        </w:rPr>
        <w:t>mployees</w:t>
      </w:r>
      <w:r w:rsidR="00656098" w:rsidRPr="001F0712">
        <w:rPr>
          <w:rFonts w:ascii="Arial" w:hAnsi="Arial" w:cs="Arial"/>
        </w:rPr>
        <w:t>,</w:t>
      </w:r>
      <w:r w:rsidR="00ED1B95" w:rsidRPr="001F0712">
        <w:rPr>
          <w:rFonts w:ascii="Arial" w:hAnsi="Arial" w:cs="Arial"/>
        </w:rPr>
        <w:t xml:space="preserve"> July for Grey Book</w:t>
      </w:r>
      <w:r w:rsidRPr="001F0712">
        <w:rPr>
          <w:rFonts w:ascii="Arial" w:hAnsi="Arial" w:cs="Arial"/>
        </w:rPr>
        <w:t xml:space="preserve"> </w:t>
      </w:r>
      <w:r w:rsidR="00853A2E" w:rsidRPr="001F0712">
        <w:rPr>
          <w:rFonts w:ascii="Arial" w:hAnsi="Arial" w:cs="Arial"/>
        </w:rPr>
        <w:t>e</w:t>
      </w:r>
      <w:r w:rsidR="00ED1B95" w:rsidRPr="001F0712">
        <w:rPr>
          <w:rFonts w:ascii="Arial" w:hAnsi="Arial" w:cs="Arial"/>
        </w:rPr>
        <w:t>mployees</w:t>
      </w:r>
      <w:r w:rsidR="00656098" w:rsidRPr="001F0712">
        <w:rPr>
          <w:rFonts w:ascii="Arial" w:hAnsi="Arial" w:cs="Arial"/>
        </w:rPr>
        <w:t xml:space="preserve"> and </w:t>
      </w:r>
      <w:r w:rsidRPr="001F0712">
        <w:rPr>
          <w:rFonts w:ascii="Arial" w:hAnsi="Arial" w:cs="Arial"/>
        </w:rPr>
        <w:t>January for Gold Book</w:t>
      </w:r>
      <w:r w:rsidR="00656098" w:rsidRPr="001F0712">
        <w:rPr>
          <w:rFonts w:ascii="Arial" w:hAnsi="Arial" w:cs="Arial"/>
        </w:rPr>
        <w:t xml:space="preserve"> employees</w:t>
      </w:r>
      <w:r w:rsidRPr="001F0712">
        <w:rPr>
          <w:rFonts w:ascii="Arial" w:hAnsi="Arial" w:cs="Arial"/>
        </w:rPr>
        <w:t>.</w:t>
      </w:r>
    </w:p>
    <w:p w14:paraId="07F0A5E6" w14:textId="77777777" w:rsidR="00987DD6" w:rsidRPr="001F0712" w:rsidRDefault="00987DD6" w:rsidP="001F16C7">
      <w:pPr>
        <w:autoSpaceDE w:val="0"/>
        <w:autoSpaceDN w:val="0"/>
        <w:adjustRightInd w:val="0"/>
        <w:ind w:left="709"/>
        <w:rPr>
          <w:rFonts w:ascii="Arial" w:hAnsi="Arial" w:cs="Arial"/>
          <w:highlight w:val="yellow"/>
        </w:rPr>
      </w:pPr>
    </w:p>
    <w:p w14:paraId="3D0F8C5E" w14:textId="77777777" w:rsidR="00B07102" w:rsidRPr="001F0712" w:rsidRDefault="00B07102" w:rsidP="001F16C7">
      <w:pPr>
        <w:autoSpaceDE w:val="0"/>
        <w:autoSpaceDN w:val="0"/>
        <w:adjustRightInd w:val="0"/>
        <w:ind w:left="709"/>
        <w:rPr>
          <w:rFonts w:ascii="Arial" w:hAnsi="Arial" w:cs="Arial"/>
          <w:highlight w:val="yellow"/>
        </w:rPr>
      </w:pPr>
    </w:p>
    <w:p w14:paraId="4BB12AA4" w14:textId="0C853A79" w:rsidR="00213C2C" w:rsidRPr="00213C2C" w:rsidRDefault="00213C2C" w:rsidP="00213C2C">
      <w:pPr>
        <w:pStyle w:val="Heading1"/>
        <w:numPr>
          <w:ilvl w:val="0"/>
          <w:numId w:val="1"/>
        </w:numPr>
        <w:ind w:left="709" w:hanging="709"/>
        <w:rPr>
          <w:rFonts w:cs="Arial"/>
        </w:rPr>
      </w:pPr>
      <w:bookmarkStart w:id="19" w:name="_Toc194319282"/>
      <w:r w:rsidRPr="001F0712">
        <w:rPr>
          <w:rFonts w:cs="Arial"/>
        </w:rPr>
        <w:t>RELATIONSHIP BETWEEN CHIEF OFFICERS' AND OTHER EMPLOYEES' PAY</w:t>
      </w:r>
      <w:bookmarkEnd w:id="19"/>
    </w:p>
    <w:p w14:paraId="3709F19B" w14:textId="77777777" w:rsidR="00B07102" w:rsidRPr="001F0712" w:rsidRDefault="004D4719" w:rsidP="006E6B9D">
      <w:pPr>
        <w:numPr>
          <w:ilvl w:val="1"/>
          <w:numId w:val="1"/>
        </w:numPr>
        <w:ind w:left="709" w:right="-483" w:hanging="709"/>
        <w:rPr>
          <w:rFonts w:ascii="Arial" w:hAnsi="Arial" w:cs="Arial"/>
        </w:rPr>
      </w:pPr>
      <w:r w:rsidRPr="001F0712">
        <w:rPr>
          <w:rFonts w:ascii="Arial" w:hAnsi="Arial" w:cs="Arial"/>
        </w:rPr>
        <w:t>One of the requirements of the Localism Act 2011 is that the Authority has a</w:t>
      </w:r>
      <w:r w:rsidR="00B07102" w:rsidRPr="001F0712">
        <w:rPr>
          <w:rFonts w:ascii="Arial" w:hAnsi="Arial" w:cs="Arial"/>
        </w:rPr>
        <w:t xml:space="preserve"> </w:t>
      </w:r>
      <w:r w:rsidRPr="001F0712">
        <w:rPr>
          <w:rFonts w:ascii="Arial" w:hAnsi="Arial" w:cs="Arial"/>
        </w:rPr>
        <w:t>policy on pay multiples for senior staff.</w:t>
      </w:r>
    </w:p>
    <w:p w14:paraId="13869696" w14:textId="77777777" w:rsidR="00B07102" w:rsidRPr="001F0712" w:rsidRDefault="00B07102" w:rsidP="001F16C7">
      <w:pPr>
        <w:autoSpaceDE w:val="0"/>
        <w:autoSpaceDN w:val="0"/>
        <w:adjustRightInd w:val="0"/>
        <w:ind w:left="709"/>
        <w:rPr>
          <w:rFonts w:ascii="Arial" w:hAnsi="Arial" w:cs="Arial"/>
        </w:rPr>
      </w:pPr>
    </w:p>
    <w:p w14:paraId="2D4BB2B7" w14:textId="112C58C9" w:rsidR="00CD75D2" w:rsidRPr="001F0712" w:rsidRDefault="003750CE" w:rsidP="006E6B9D">
      <w:pPr>
        <w:numPr>
          <w:ilvl w:val="1"/>
          <w:numId w:val="1"/>
        </w:numPr>
        <w:ind w:left="709" w:right="-483" w:hanging="709"/>
        <w:rPr>
          <w:rFonts w:ascii="Arial" w:hAnsi="Arial" w:cs="Arial"/>
        </w:rPr>
      </w:pPr>
      <w:r w:rsidRPr="001F0712">
        <w:rPr>
          <w:rFonts w:ascii="Arial" w:hAnsi="Arial" w:cs="Arial"/>
        </w:rPr>
        <w:t>The definition of lowest paid employees is those staff who are employed in jobs which are paid at Scale 1 level (</w:t>
      </w:r>
      <w:r w:rsidR="00D044F3" w:rsidRPr="001F0712">
        <w:rPr>
          <w:rFonts w:ascii="Arial" w:hAnsi="Arial" w:cs="Arial"/>
        </w:rPr>
        <w:t xml:space="preserve">from </w:t>
      </w:r>
      <w:r w:rsidRPr="001F0712">
        <w:rPr>
          <w:rFonts w:ascii="Arial" w:hAnsi="Arial" w:cs="Arial"/>
        </w:rPr>
        <w:t xml:space="preserve">spinal column point </w:t>
      </w:r>
      <w:r w:rsidR="00D044F3" w:rsidRPr="001F0712">
        <w:rPr>
          <w:rFonts w:ascii="Arial" w:hAnsi="Arial" w:cs="Arial"/>
        </w:rPr>
        <w:t>2</w:t>
      </w:r>
      <w:r w:rsidRPr="001F0712">
        <w:rPr>
          <w:rFonts w:ascii="Arial" w:hAnsi="Arial" w:cs="Arial"/>
        </w:rPr>
        <w:t xml:space="preserve">) </w:t>
      </w:r>
      <w:r w:rsidR="006A5E56" w:rsidRPr="001F0712">
        <w:rPr>
          <w:rFonts w:ascii="Arial" w:hAnsi="Arial" w:cs="Arial"/>
        </w:rPr>
        <w:t>(</w:t>
      </w:r>
      <w:r w:rsidR="00D044F3" w:rsidRPr="001F0712">
        <w:rPr>
          <w:rFonts w:ascii="Arial" w:hAnsi="Arial" w:cs="Arial"/>
        </w:rPr>
        <w:t>see Annex 1</w:t>
      </w:r>
      <w:r w:rsidRPr="001F0712">
        <w:rPr>
          <w:rFonts w:ascii="Arial" w:hAnsi="Arial" w:cs="Arial"/>
        </w:rPr>
        <w:t>), this being the lowest salary paid to employees other than apprentices.</w:t>
      </w:r>
      <w:r w:rsidR="003106CC" w:rsidRPr="001F0712">
        <w:rPr>
          <w:rFonts w:ascii="Arial" w:hAnsi="Arial" w:cs="Arial"/>
        </w:rPr>
        <w:t xml:space="preserve"> </w:t>
      </w:r>
      <w:r w:rsidRPr="001F0712">
        <w:rPr>
          <w:rFonts w:ascii="Arial" w:hAnsi="Arial" w:cs="Arial"/>
        </w:rPr>
        <w:t xml:space="preserve">The salaries attributable to apprentices depend on age and are those set out within the National Minimum Wage legislation. Given the specific nature of these appointments, the Authority does not include apprentices within the definition of lowest paid employees for the purposes of this </w:t>
      </w:r>
      <w:r w:rsidR="00D91F57" w:rsidRPr="001F0712">
        <w:rPr>
          <w:rFonts w:ascii="Arial" w:hAnsi="Arial" w:cs="Arial"/>
        </w:rPr>
        <w:t>document</w:t>
      </w:r>
      <w:r w:rsidRPr="001F0712">
        <w:rPr>
          <w:rFonts w:ascii="Arial" w:hAnsi="Arial" w:cs="Arial"/>
        </w:rPr>
        <w:t>.</w:t>
      </w:r>
    </w:p>
    <w:p w14:paraId="4C13CF20" w14:textId="77777777" w:rsidR="00262FCE" w:rsidRPr="001F0712" w:rsidRDefault="00262FCE" w:rsidP="00262FCE">
      <w:pPr>
        <w:pStyle w:val="ListParagraph"/>
        <w:rPr>
          <w:rFonts w:ascii="Arial" w:hAnsi="Arial" w:cs="Arial"/>
          <w:highlight w:val="yellow"/>
        </w:rPr>
      </w:pPr>
    </w:p>
    <w:p w14:paraId="2EFDE4C1" w14:textId="70AABBE2" w:rsidR="00CD75D2" w:rsidRPr="001F0712" w:rsidRDefault="00CD75D2" w:rsidP="006E6B9D">
      <w:pPr>
        <w:numPr>
          <w:ilvl w:val="1"/>
          <w:numId w:val="1"/>
        </w:numPr>
        <w:ind w:left="709" w:right="-483" w:hanging="709"/>
        <w:rPr>
          <w:rFonts w:ascii="Arial" w:hAnsi="Arial" w:cs="Arial"/>
        </w:rPr>
      </w:pPr>
      <w:r w:rsidRPr="001F0712">
        <w:rPr>
          <w:rFonts w:ascii="Arial" w:hAnsi="Arial" w:cs="Arial"/>
          <w:color w:val="000000"/>
        </w:rPr>
        <w:t xml:space="preserve">While pay is </w:t>
      </w:r>
      <w:proofErr w:type="gramStart"/>
      <w:r w:rsidRPr="001F0712">
        <w:rPr>
          <w:rFonts w:ascii="Arial" w:hAnsi="Arial" w:cs="Arial"/>
          <w:color w:val="000000"/>
        </w:rPr>
        <w:t>important as a whole, it</w:t>
      </w:r>
      <w:proofErr w:type="gramEnd"/>
      <w:r w:rsidRPr="001F0712">
        <w:rPr>
          <w:rFonts w:ascii="Arial" w:hAnsi="Arial" w:cs="Arial"/>
          <w:color w:val="000000"/>
        </w:rPr>
        <w:t xml:space="preserve"> is fairness which is of most importance. </w:t>
      </w:r>
      <w:r w:rsidRPr="001F0712">
        <w:rPr>
          <w:rFonts w:ascii="Arial" w:hAnsi="Arial" w:cs="Arial"/>
        </w:rPr>
        <w:t xml:space="preserve">The current pay multiples for the Chief Fire Officer and lowest paid employee </w:t>
      </w:r>
      <w:proofErr w:type="gramStart"/>
      <w:r w:rsidRPr="001F0712">
        <w:rPr>
          <w:rFonts w:ascii="Arial" w:hAnsi="Arial" w:cs="Arial"/>
        </w:rPr>
        <w:t>is</w:t>
      </w:r>
      <w:proofErr w:type="gramEnd"/>
      <w:r w:rsidRPr="001F0712">
        <w:rPr>
          <w:rFonts w:ascii="Arial" w:hAnsi="Arial" w:cs="Arial"/>
        </w:rPr>
        <w:t xml:space="preserve"> </w:t>
      </w:r>
      <w:r w:rsidR="00C15B6F" w:rsidRPr="001F0712">
        <w:rPr>
          <w:rFonts w:ascii="Arial" w:hAnsi="Arial" w:cs="Arial"/>
          <w:bCs/>
        </w:rPr>
        <w:t>9.06 (taking into account salary</w:t>
      </w:r>
      <w:r w:rsidR="009737C1" w:rsidRPr="001F0712">
        <w:rPr>
          <w:rFonts w:ascii="Arial" w:hAnsi="Arial" w:cs="Arial"/>
          <w:bCs/>
        </w:rPr>
        <w:t xml:space="preserve"> and </w:t>
      </w:r>
      <w:r w:rsidR="00816ADB" w:rsidRPr="001F0712">
        <w:rPr>
          <w:rFonts w:ascii="Arial" w:hAnsi="Arial" w:cs="Arial"/>
          <w:bCs/>
        </w:rPr>
        <w:t>employer’s national insurance and pension contributions</w:t>
      </w:r>
      <w:r w:rsidR="0072501E">
        <w:rPr>
          <w:rFonts w:ascii="Arial" w:hAnsi="Arial" w:cs="Arial"/>
          <w:bCs/>
        </w:rPr>
        <w:t>)</w:t>
      </w:r>
      <w:r w:rsidRPr="001F0712">
        <w:rPr>
          <w:rFonts w:ascii="Arial" w:hAnsi="Arial" w:cs="Arial"/>
          <w:bCs/>
        </w:rPr>
        <w:t>.</w:t>
      </w:r>
      <w:r w:rsidR="00553059" w:rsidRPr="001F0712">
        <w:rPr>
          <w:rFonts w:ascii="Arial" w:hAnsi="Arial" w:cs="Arial"/>
          <w:bCs/>
        </w:rPr>
        <w:t xml:space="preserve"> </w:t>
      </w:r>
      <w:r w:rsidRPr="001F0712">
        <w:rPr>
          <w:rFonts w:ascii="Arial" w:hAnsi="Arial" w:cs="Arial"/>
        </w:rPr>
        <w:t>This is well within the Government expectation that the pay multiple relationship should be below 20:1 in local government.</w:t>
      </w:r>
    </w:p>
    <w:p w14:paraId="2CA95E83" w14:textId="7F5B278C" w:rsidR="001F16C7" w:rsidRPr="001F0712" w:rsidRDefault="001F16C7" w:rsidP="00364FBE">
      <w:pPr>
        <w:autoSpaceDE w:val="0"/>
        <w:autoSpaceDN w:val="0"/>
        <w:adjustRightInd w:val="0"/>
        <w:ind w:left="709"/>
        <w:rPr>
          <w:rFonts w:ascii="Arial" w:hAnsi="Arial" w:cs="Arial"/>
          <w:highlight w:val="yellow"/>
        </w:rPr>
      </w:pPr>
    </w:p>
    <w:p w14:paraId="4FC2150E" w14:textId="75818429" w:rsidR="005E6D1C" w:rsidRPr="001F0712" w:rsidRDefault="00492DDC" w:rsidP="00492DDC">
      <w:pPr>
        <w:pStyle w:val="Heading1"/>
        <w:numPr>
          <w:ilvl w:val="0"/>
          <w:numId w:val="1"/>
        </w:numPr>
        <w:ind w:left="709" w:hanging="709"/>
        <w:rPr>
          <w:rFonts w:cs="Arial"/>
        </w:rPr>
      </w:pPr>
      <w:bookmarkStart w:id="20" w:name="_Toc194319283"/>
      <w:r w:rsidRPr="001F0712">
        <w:rPr>
          <w:rFonts w:cs="Arial"/>
        </w:rPr>
        <w:t xml:space="preserve">PUBLICATION OF </w:t>
      </w:r>
      <w:r w:rsidR="004C0ACD" w:rsidRPr="001F0712">
        <w:rPr>
          <w:rFonts w:cs="Arial"/>
        </w:rPr>
        <w:t>INFORMATION</w:t>
      </w:r>
      <w:bookmarkEnd w:id="20"/>
      <w:r w:rsidRPr="001F0712">
        <w:rPr>
          <w:rFonts w:cs="Arial"/>
        </w:rPr>
        <w:t xml:space="preserve"> </w:t>
      </w:r>
    </w:p>
    <w:p w14:paraId="06EFBEA0" w14:textId="24889882" w:rsidR="004A20E6" w:rsidRPr="001F0712" w:rsidRDefault="002F5779" w:rsidP="006E6B9D">
      <w:pPr>
        <w:numPr>
          <w:ilvl w:val="1"/>
          <w:numId w:val="1"/>
        </w:numPr>
        <w:ind w:left="709" w:right="-483" w:hanging="709"/>
        <w:rPr>
          <w:rFonts w:ascii="Arial" w:hAnsi="Arial" w:cs="Arial"/>
        </w:rPr>
      </w:pPr>
      <w:r w:rsidRPr="001F0712">
        <w:rPr>
          <w:rFonts w:ascii="Arial" w:hAnsi="Arial" w:cs="Arial"/>
        </w:rPr>
        <w:t xml:space="preserve">In addition to the </w:t>
      </w:r>
      <w:r w:rsidR="004C0ACD" w:rsidRPr="001F0712">
        <w:rPr>
          <w:rFonts w:ascii="Arial" w:hAnsi="Arial" w:cs="Arial"/>
        </w:rPr>
        <w:t xml:space="preserve">annual </w:t>
      </w:r>
      <w:r w:rsidR="005E6D1C" w:rsidRPr="001F0712">
        <w:rPr>
          <w:rFonts w:ascii="Arial" w:hAnsi="Arial" w:cs="Arial"/>
        </w:rPr>
        <w:t>publ</w:t>
      </w:r>
      <w:r w:rsidRPr="001F0712">
        <w:rPr>
          <w:rFonts w:ascii="Arial" w:hAnsi="Arial" w:cs="Arial"/>
        </w:rPr>
        <w:t xml:space="preserve">ication of </w:t>
      </w:r>
      <w:r w:rsidR="004A20E6" w:rsidRPr="001F0712">
        <w:rPr>
          <w:rFonts w:ascii="Arial" w:hAnsi="Arial" w:cs="Arial"/>
        </w:rPr>
        <w:t>this Statement</w:t>
      </w:r>
      <w:r w:rsidR="00405548" w:rsidRPr="001F0712">
        <w:rPr>
          <w:rFonts w:ascii="Arial" w:hAnsi="Arial" w:cs="Arial"/>
        </w:rPr>
        <w:t xml:space="preserve"> on the Authority’s website</w:t>
      </w:r>
      <w:r w:rsidR="004A20E6" w:rsidRPr="001F0712">
        <w:rPr>
          <w:rFonts w:ascii="Arial" w:hAnsi="Arial" w:cs="Arial"/>
        </w:rPr>
        <w:t xml:space="preserve">, </w:t>
      </w:r>
      <w:r w:rsidR="005E6D1C" w:rsidRPr="001F0712">
        <w:rPr>
          <w:rFonts w:ascii="Arial" w:hAnsi="Arial" w:cs="Arial"/>
        </w:rPr>
        <w:t xml:space="preserve">for posts where the full-time equivalent salary is at least £50,000, the Authority’s annual </w:t>
      </w:r>
      <w:r w:rsidR="004A20E6" w:rsidRPr="001F0712">
        <w:rPr>
          <w:rFonts w:ascii="Arial" w:hAnsi="Arial" w:cs="Arial"/>
        </w:rPr>
        <w:t>S</w:t>
      </w:r>
      <w:r w:rsidR="005E6D1C" w:rsidRPr="001F0712">
        <w:rPr>
          <w:rFonts w:ascii="Arial" w:hAnsi="Arial" w:cs="Arial"/>
        </w:rPr>
        <w:t xml:space="preserve">tatement of </w:t>
      </w:r>
      <w:r w:rsidR="004A20E6" w:rsidRPr="001F0712">
        <w:rPr>
          <w:rFonts w:ascii="Arial" w:hAnsi="Arial" w:cs="Arial"/>
        </w:rPr>
        <w:t>A</w:t>
      </w:r>
      <w:r w:rsidR="005E6D1C" w:rsidRPr="001F0712">
        <w:rPr>
          <w:rFonts w:ascii="Arial" w:hAnsi="Arial" w:cs="Arial"/>
        </w:rPr>
        <w:t>ccounts include</w:t>
      </w:r>
      <w:r w:rsidR="00B85849" w:rsidRPr="001F0712">
        <w:rPr>
          <w:rFonts w:ascii="Arial" w:hAnsi="Arial" w:cs="Arial"/>
        </w:rPr>
        <w:t>s</w:t>
      </w:r>
      <w:r w:rsidR="005E6D1C" w:rsidRPr="001F0712">
        <w:rPr>
          <w:rFonts w:ascii="Arial" w:hAnsi="Arial" w:cs="Arial"/>
        </w:rPr>
        <w:t xml:space="preserve"> a note setting out: </w:t>
      </w:r>
    </w:p>
    <w:p w14:paraId="2D393488" w14:textId="77777777" w:rsidR="00B85849" w:rsidRPr="001F0712" w:rsidRDefault="00B85849" w:rsidP="00B85849">
      <w:pPr>
        <w:autoSpaceDE w:val="0"/>
        <w:autoSpaceDN w:val="0"/>
        <w:adjustRightInd w:val="0"/>
        <w:ind w:left="709"/>
        <w:rPr>
          <w:rFonts w:ascii="Arial" w:hAnsi="Arial" w:cs="Arial"/>
          <w:sz w:val="14"/>
          <w:szCs w:val="14"/>
        </w:rPr>
      </w:pPr>
    </w:p>
    <w:p w14:paraId="1C259270" w14:textId="555DDDDC" w:rsidR="004A20E6" w:rsidRPr="001F0712" w:rsidRDefault="00CE3547" w:rsidP="006E6B9D">
      <w:pPr>
        <w:pStyle w:val="ListParagraph"/>
        <w:numPr>
          <w:ilvl w:val="0"/>
          <w:numId w:val="18"/>
        </w:numPr>
        <w:ind w:right="-483"/>
        <w:rPr>
          <w:rFonts w:ascii="Arial" w:hAnsi="Arial" w:cs="Arial"/>
        </w:rPr>
      </w:pPr>
      <w:r w:rsidRPr="001F0712">
        <w:rPr>
          <w:rFonts w:ascii="Arial" w:hAnsi="Arial" w:cs="Arial"/>
        </w:rPr>
        <w:t>Any s</w:t>
      </w:r>
      <w:r w:rsidR="005E6D1C" w:rsidRPr="001F0712">
        <w:rPr>
          <w:rFonts w:ascii="Arial" w:hAnsi="Arial" w:cs="Arial"/>
        </w:rPr>
        <w:t xml:space="preserve">alary, fees, </w:t>
      </w:r>
      <w:r w:rsidR="002A66A7" w:rsidRPr="001F0712">
        <w:rPr>
          <w:rFonts w:ascii="Arial" w:hAnsi="Arial" w:cs="Arial"/>
        </w:rPr>
        <w:t xml:space="preserve">taxable </w:t>
      </w:r>
      <w:r w:rsidR="005E6D1C" w:rsidRPr="001F0712">
        <w:rPr>
          <w:rFonts w:ascii="Arial" w:hAnsi="Arial" w:cs="Arial"/>
        </w:rPr>
        <w:t xml:space="preserve">allowances </w:t>
      </w:r>
      <w:r w:rsidR="006160A5" w:rsidRPr="001F0712">
        <w:rPr>
          <w:rFonts w:ascii="Arial" w:hAnsi="Arial" w:cs="Arial"/>
        </w:rPr>
        <w:t xml:space="preserve">and bonuses </w:t>
      </w:r>
      <w:r w:rsidR="005E6D1C" w:rsidRPr="001F0712">
        <w:rPr>
          <w:rFonts w:ascii="Arial" w:hAnsi="Arial" w:cs="Arial"/>
        </w:rPr>
        <w:t xml:space="preserve">paid to or </w:t>
      </w:r>
      <w:r w:rsidR="0080076E" w:rsidRPr="001F0712">
        <w:rPr>
          <w:rFonts w:ascii="Arial" w:hAnsi="Arial" w:cs="Arial"/>
        </w:rPr>
        <w:t>payable to</w:t>
      </w:r>
      <w:r w:rsidR="005E6D1C" w:rsidRPr="001F0712">
        <w:rPr>
          <w:rFonts w:ascii="Arial" w:hAnsi="Arial" w:cs="Arial"/>
        </w:rPr>
        <w:t xml:space="preserve"> the </w:t>
      </w:r>
      <w:r w:rsidR="0080076E" w:rsidRPr="001F0712">
        <w:rPr>
          <w:rFonts w:ascii="Arial" w:hAnsi="Arial" w:cs="Arial"/>
        </w:rPr>
        <w:t>employee</w:t>
      </w:r>
      <w:r w:rsidR="005E6D1C" w:rsidRPr="001F0712">
        <w:rPr>
          <w:rFonts w:ascii="Arial" w:hAnsi="Arial" w:cs="Arial"/>
        </w:rPr>
        <w:t xml:space="preserve"> in the current and previous </w:t>
      </w:r>
      <w:proofErr w:type="gramStart"/>
      <w:r w:rsidR="005E6D1C" w:rsidRPr="001F0712">
        <w:rPr>
          <w:rFonts w:ascii="Arial" w:hAnsi="Arial" w:cs="Arial"/>
        </w:rPr>
        <w:t>year</w:t>
      </w:r>
      <w:r w:rsidR="0080076E" w:rsidRPr="001F0712">
        <w:rPr>
          <w:rFonts w:ascii="Arial" w:hAnsi="Arial" w:cs="Arial"/>
        </w:rPr>
        <w:t>s;</w:t>
      </w:r>
      <w:proofErr w:type="gramEnd"/>
      <w:r w:rsidR="005E6D1C" w:rsidRPr="001F0712">
        <w:rPr>
          <w:rFonts w:ascii="Arial" w:hAnsi="Arial" w:cs="Arial"/>
        </w:rPr>
        <w:t xml:space="preserve"> </w:t>
      </w:r>
    </w:p>
    <w:p w14:paraId="5DDCE971" w14:textId="3201F2AD" w:rsidR="004A20E6" w:rsidRPr="001F0712" w:rsidRDefault="005E6D1C" w:rsidP="006E6B9D">
      <w:pPr>
        <w:pStyle w:val="ListParagraph"/>
        <w:numPr>
          <w:ilvl w:val="0"/>
          <w:numId w:val="18"/>
        </w:numPr>
        <w:ind w:right="-483"/>
        <w:rPr>
          <w:rFonts w:ascii="Arial" w:hAnsi="Arial" w:cs="Arial"/>
        </w:rPr>
      </w:pPr>
      <w:r w:rsidRPr="001F0712">
        <w:rPr>
          <w:rFonts w:ascii="Arial" w:hAnsi="Arial" w:cs="Arial"/>
        </w:rPr>
        <w:t xml:space="preserve">Any compensation for loss of employment </w:t>
      </w:r>
      <w:r w:rsidR="002A66A7" w:rsidRPr="001F0712">
        <w:rPr>
          <w:rFonts w:ascii="Arial" w:hAnsi="Arial" w:cs="Arial"/>
        </w:rPr>
        <w:t>or</w:t>
      </w:r>
      <w:r w:rsidRPr="001F0712">
        <w:rPr>
          <w:rFonts w:ascii="Arial" w:hAnsi="Arial" w:cs="Arial"/>
        </w:rPr>
        <w:t xml:space="preserve"> other payments connected with </w:t>
      </w:r>
      <w:r w:rsidR="002A66A7" w:rsidRPr="001F0712">
        <w:rPr>
          <w:rFonts w:ascii="Arial" w:hAnsi="Arial" w:cs="Arial"/>
        </w:rPr>
        <w:t xml:space="preserve">the </w:t>
      </w:r>
      <w:r w:rsidRPr="001F0712">
        <w:rPr>
          <w:rFonts w:ascii="Arial" w:hAnsi="Arial" w:cs="Arial"/>
        </w:rPr>
        <w:t>termination</w:t>
      </w:r>
      <w:r w:rsidR="002A66A7" w:rsidRPr="001F0712">
        <w:rPr>
          <w:rFonts w:ascii="Arial" w:hAnsi="Arial" w:cs="Arial"/>
        </w:rPr>
        <w:t xml:space="preserve"> of employment; and</w:t>
      </w:r>
    </w:p>
    <w:p w14:paraId="6A3F9FA9" w14:textId="720825DE" w:rsidR="005E6D1C" w:rsidRDefault="005E6D1C" w:rsidP="006E6B9D">
      <w:pPr>
        <w:pStyle w:val="ListParagraph"/>
        <w:numPr>
          <w:ilvl w:val="0"/>
          <w:numId w:val="18"/>
        </w:numPr>
        <w:ind w:right="-483"/>
        <w:rPr>
          <w:rFonts w:ascii="Arial" w:hAnsi="Arial" w:cs="Arial"/>
        </w:rPr>
      </w:pPr>
      <w:r w:rsidRPr="001F0712">
        <w:rPr>
          <w:rFonts w:ascii="Arial" w:hAnsi="Arial" w:cs="Arial"/>
        </w:rPr>
        <w:t xml:space="preserve">Any </w:t>
      </w:r>
      <w:r w:rsidR="002A66A7" w:rsidRPr="001F0712">
        <w:rPr>
          <w:rFonts w:ascii="Arial" w:hAnsi="Arial" w:cs="Arial"/>
        </w:rPr>
        <w:t xml:space="preserve">other </w:t>
      </w:r>
      <w:r w:rsidRPr="001F0712">
        <w:rPr>
          <w:rFonts w:ascii="Arial" w:hAnsi="Arial" w:cs="Arial"/>
        </w:rPr>
        <w:t xml:space="preserve">benefits received </w:t>
      </w:r>
      <w:r w:rsidR="002A66A7" w:rsidRPr="001F0712">
        <w:rPr>
          <w:rFonts w:ascii="Arial" w:hAnsi="Arial" w:cs="Arial"/>
        </w:rPr>
        <w:t>not disclosed above</w:t>
      </w:r>
      <w:r w:rsidRPr="001F0712">
        <w:rPr>
          <w:rFonts w:ascii="Arial" w:hAnsi="Arial" w:cs="Arial"/>
        </w:rPr>
        <w:t>.</w:t>
      </w:r>
    </w:p>
    <w:p w14:paraId="2C69958C" w14:textId="77777777" w:rsidR="0083718E" w:rsidRDefault="0083718E" w:rsidP="0083718E">
      <w:pPr>
        <w:pStyle w:val="ListParagraph"/>
        <w:autoSpaceDE w:val="0"/>
        <w:autoSpaceDN w:val="0"/>
        <w:adjustRightInd w:val="0"/>
        <w:ind w:left="1069"/>
        <w:rPr>
          <w:rFonts w:ascii="Arial" w:hAnsi="Arial" w:cs="Arial"/>
        </w:rPr>
      </w:pPr>
    </w:p>
    <w:p w14:paraId="66AEA939" w14:textId="559ECEDD" w:rsidR="003C6753" w:rsidRPr="003C6753" w:rsidRDefault="00FA6E13" w:rsidP="003C6753">
      <w:pPr>
        <w:numPr>
          <w:ilvl w:val="1"/>
          <w:numId w:val="1"/>
        </w:numPr>
        <w:ind w:left="709" w:right="-483" w:hanging="709"/>
        <w:rPr>
          <w:rFonts w:ascii="Arial" w:hAnsi="Arial" w:cs="Arial"/>
          <w:b/>
          <w:bCs/>
        </w:rPr>
      </w:pPr>
      <w:r w:rsidRPr="003C6753">
        <w:rPr>
          <w:rFonts w:ascii="Arial" w:hAnsi="Arial" w:cs="Arial"/>
        </w:rPr>
        <w:t xml:space="preserve">The Authority has numerous disclosure responsibilities under the Local Government Transparency Code; </w:t>
      </w:r>
      <w:r w:rsidR="00382E00" w:rsidRPr="003C6753">
        <w:rPr>
          <w:rFonts w:ascii="Arial" w:hAnsi="Arial" w:cs="Arial"/>
        </w:rPr>
        <w:t xml:space="preserve">this information is published on the Authority’s website and </w:t>
      </w:r>
      <w:r w:rsidRPr="003C6753">
        <w:rPr>
          <w:rFonts w:ascii="Arial" w:hAnsi="Arial" w:cs="Arial"/>
        </w:rPr>
        <w:t xml:space="preserve">there </w:t>
      </w:r>
      <w:r w:rsidR="00382E00" w:rsidRPr="003C6753">
        <w:rPr>
          <w:rFonts w:ascii="Arial" w:hAnsi="Arial" w:cs="Arial"/>
        </w:rPr>
        <w:t>may be some overlaps with the information</w:t>
      </w:r>
      <w:r w:rsidR="003C6753" w:rsidRPr="003C6753">
        <w:rPr>
          <w:rFonts w:ascii="Arial" w:hAnsi="Arial" w:cs="Arial"/>
        </w:rPr>
        <w:t>.</w:t>
      </w:r>
      <w:r w:rsidR="00382E00" w:rsidRPr="003C6753">
        <w:rPr>
          <w:rFonts w:ascii="Arial" w:hAnsi="Arial" w:cs="Arial"/>
        </w:rPr>
        <w:t xml:space="preserve"> </w:t>
      </w:r>
    </w:p>
    <w:p w14:paraId="63B10DD9" w14:textId="56827AD2" w:rsidR="002124BC" w:rsidRPr="001F0712" w:rsidRDefault="002124BC" w:rsidP="003C6753">
      <w:pPr>
        <w:numPr>
          <w:ilvl w:val="1"/>
          <w:numId w:val="1"/>
        </w:numPr>
        <w:ind w:left="709" w:right="-483" w:hanging="709"/>
        <w:rPr>
          <w:rFonts w:ascii="Arial" w:hAnsi="Arial" w:cs="Arial"/>
          <w:b/>
          <w:bCs/>
          <w:sz w:val="32"/>
          <w:szCs w:val="32"/>
        </w:rPr>
      </w:pPr>
      <w:r w:rsidRPr="001F0712">
        <w:rPr>
          <w:rFonts w:ascii="Arial" w:hAnsi="Arial" w:cs="Arial"/>
          <w:b/>
          <w:bCs/>
          <w:sz w:val="32"/>
          <w:szCs w:val="32"/>
        </w:rPr>
        <w:br w:type="page"/>
      </w:r>
    </w:p>
    <w:p w14:paraId="32CD977B" w14:textId="5836202A" w:rsidR="00AF2AC9" w:rsidRPr="00C57621" w:rsidRDefault="005E48F7" w:rsidP="00C57621">
      <w:pPr>
        <w:pStyle w:val="Heading1"/>
        <w:rPr>
          <w:sz w:val="32"/>
          <w:szCs w:val="24"/>
        </w:rPr>
      </w:pPr>
      <w:bookmarkStart w:id="21" w:name="_Toc194319284"/>
      <w:r w:rsidRPr="00C57621">
        <w:rPr>
          <w:sz w:val="32"/>
          <w:szCs w:val="24"/>
        </w:rPr>
        <w:lastRenderedPageBreak/>
        <w:t>Annex 1</w:t>
      </w:r>
      <w:r w:rsidR="0003626A" w:rsidRPr="00C57621">
        <w:rPr>
          <w:sz w:val="32"/>
          <w:szCs w:val="24"/>
        </w:rPr>
        <w:t>: Green Book pay from 1 April 2024</w:t>
      </w:r>
      <w:bookmarkEnd w:id="21"/>
    </w:p>
    <w:p w14:paraId="657E3535" w14:textId="47F19184" w:rsidR="005E48F7" w:rsidRPr="001F0712" w:rsidRDefault="005E48F7" w:rsidP="001F16C7">
      <w:pPr>
        <w:autoSpaceDE w:val="0"/>
        <w:autoSpaceDN w:val="0"/>
        <w:adjustRightInd w:val="0"/>
        <w:rPr>
          <w:rFonts w:ascii="Arial" w:hAnsi="Arial" w:cs="Arial"/>
          <w:color w:val="FF0000"/>
          <w:sz w:val="14"/>
          <w:szCs w:val="14"/>
        </w:rPr>
      </w:pPr>
    </w:p>
    <w:tbl>
      <w:tblPr>
        <w:tblW w:w="7499" w:type="dxa"/>
        <w:tblLook w:val="04A0" w:firstRow="1" w:lastRow="0" w:firstColumn="1" w:lastColumn="0" w:noHBand="0" w:noVBand="1"/>
      </w:tblPr>
      <w:tblGrid>
        <w:gridCol w:w="1691"/>
        <w:gridCol w:w="1020"/>
        <w:gridCol w:w="1390"/>
        <w:gridCol w:w="1295"/>
        <w:gridCol w:w="1080"/>
        <w:gridCol w:w="1023"/>
      </w:tblGrid>
      <w:tr w:rsidR="00A82A06" w:rsidRPr="001F0712" w14:paraId="0B5F345F" w14:textId="77777777" w:rsidTr="00FA4054">
        <w:trPr>
          <w:trHeight w:val="60"/>
        </w:trPr>
        <w:tc>
          <w:tcPr>
            <w:tcW w:w="1691" w:type="dxa"/>
            <w:tcBorders>
              <w:top w:val="single" w:sz="8" w:space="0" w:color="BFBFBF"/>
              <w:left w:val="single" w:sz="8" w:space="0" w:color="BFBFBF"/>
              <w:bottom w:val="single" w:sz="8" w:space="0" w:color="BFBFBF"/>
              <w:right w:val="single" w:sz="8" w:space="0" w:color="BFBFBF"/>
            </w:tcBorders>
            <w:shd w:val="clear" w:color="000000" w:fill="FFFFFF"/>
            <w:vAlign w:val="center"/>
            <w:hideMark/>
          </w:tcPr>
          <w:p w14:paraId="6FCBE4FF" w14:textId="514BB6C7" w:rsidR="00C07CCB" w:rsidRPr="001F0712" w:rsidRDefault="00C07CCB" w:rsidP="003C139D">
            <w:pPr>
              <w:spacing w:before="120" w:after="120"/>
              <w:contextualSpacing/>
              <w:rPr>
                <w:rFonts w:ascii="Arial" w:hAnsi="Arial" w:cs="Arial"/>
                <w:b/>
                <w:bCs/>
                <w:color w:val="000000"/>
                <w:sz w:val="20"/>
                <w:szCs w:val="20"/>
              </w:rPr>
            </w:pPr>
            <w:r w:rsidRPr="001F0712">
              <w:rPr>
                <w:rFonts w:ascii="Arial" w:hAnsi="Arial" w:cs="Arial"/>
                <w:b/>
                <w:bCs/>
                <w:color w:val="000000"/>
                <w:sz w:val="20"/>
                <w:szCs w:val="20"/>
              </w:rPr>
              <w:t> </w:t>
            </w:r>
            <w:r w:rsidR="00DC5129" w:rsidRPr="001F0712">
              <w:rPr>
                <w:rFonts w:ascii="Arial" w:hAnsi="Arial" w:cs="Arial"/>
                <w:b/>
                <w:bCs/>
                <w:color w:val="000000"/>
                <w:sz w:val="20"/>
                <w:szCs w:val="20"/>
              </w:rPr>
              <w:t>Grade</w:t>
            </w:r>
          </w:p>
        </w:tc>
        <w:tc>
          <w:tcPr>
            <w:tcW w:w="1020" w:type="dxa"/>
            <w:tcBorders>
              <w:top w:val="single" w:sz="8" w:space="0" w:color="BFBFBF"/>
              <w:left w:val="nil"/>
              <w:bottom w:val="single" w:sz="8" w:space="0" w:color="BFBFBF"/>
              <w:right w:val="single" w:sz="8" w:space="0" w:color="BFBFBF"/>
            </w:tcBorders>
            <w:shd w:val="clear" w:color="000000" w:fill="FFFFFF"/>
            <w:vAlign w:val="center"/>
            <w:hideMark/>
          </w:tcPr>
          <w:p w14:paraId="7C1CEAEB"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SCP</w:t>
            </w:r>
          </w:p>
        </w:tc>
        <w:tc>
          <w:tcPr>
            <w:tcW w:w="1390" w:type="dxa"/>
            <w:tcBorders>
              <w:top w:val="single" w:sz="8" w:space="0" w:color="BFBFBF"/>
              <w:left w:val="nil"/>
              <w:bottom w:val="single" w:sz="8" w:space="0" w:color="BFBFBF"/>
              <w:right w:val="single" w:sz="8" w:space="0" w:color="BFBFBF"/>
            </w:tcBorders>
            <w:shd w:val="clear" w:color="000000" w:fill="FFFFFF"/>
            <w:vAlign w:val="center"/>
            <w:hideMark/>
          </w:tcPr>
          <w:p w14:paraId="7C6D22F1" w14:textId="273266D6"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Salary from 1 April 2024</w:t>
            </w:r>
            <w:r w:rsidR="004C1FEF" w:rsidRPr="001F0712">
              <w:rPr>
                <w:rFonts w:ascii="Arial" w:hAnsi="Arial" w:cs="Arial"/>
                <w:b/>
                <w:bCs/>
                <w:color w:val="0070C0"/>
                <w:sz w:val="20"/>
                <w:szCs w:val="20"/>
              </w:rPr>
              <w:t>*</w:t>
            </w:r>
          </w:p>
        </w:tc>
        <w:tc>
          <w:tcPr>
            <w:tcW w:w="1295" w:type="dxa"/>
            <w:tcBorders>
              <w:top w:val="single" w:sz="8" w:space="0" w:color="BFBFBF"/>
              <w:left w:val="nil"/>
              <w:bottom w:val="single" w:sz="8" w:space="0" w:color="BFBFBF"/>
              <w:right w:val="single" w:sz="8" w:space="0" w:color="BFBFBF"/>
            </w:tcBorders>
            <w:shd w:val="clear" w:color="FFFFFF" w:fill="FFFFFF"/>
            <w:noWrap/>
            <w:vAlign w:val="center"/>
            <w:hideMark/>
          </w:tcPr>
          <w:p w14:paraId="01E27536" w14:textId="5A132839" w:rsidR="00C07CCB" w:rsidRPr="001F0712" w:rsidRDefault="00A82A06"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 xml:space="preserve">Employer’s </w:t>
            </w:r>
            <w:r w:rsidR="00C07CCB" w:rsidRPr="001F0712">
              <w:rPr>
                <w:rFonts w:ascii="Arial" w:hAnsi="Arial" w:cs="Arial"/>
                <w:b/>
                <w:bCs/>
                <w:color w:val="000000"/>
                <w:sz w:val="20"/>
                <w:szCs w:val="20"/>
              </w:rPr>
              <w:t>N</w:t>
            </w:r>
            <w:r w:rsidR="000533E4" w:rsidRPr="001F0712">
              <w:rPr>
                <w:rFonts w:ascii="Arial" w:hAnsi="Arial" w:cs="Arial"/>
                <w:b/>
                <w:bCs/>
                <w:color w:val="000000"/>
                <w:sz w:val="20"/>
                <w:szCs w:val="20"/>
              </w:rPr>
              <w:t xml:space="preserve">ational </w:t>
            </w:r>
            <w:r w:rsidR="00C07CCB" w:rsidRPr="001F0712">
              <w:rPr>
                <w:rFonts w:ascii="Arial" w:hAnsi="Arial" w:cs="Arial"/>
                <w:b/>
                <w:bCs/>
                <w:color w:val="000000"/>
                <w:sz w:val="20"/>
                <w:szCs w:val="20"/>
              </w:rPr>
              <w:t>I</w:t>
            </w:r>
            <w:r w:rsidR="000533E4" w:rsidRPr="001F0712">
              <w:rPr>
                <w:rFonts w:ascii="Arial" w:hAnsi="Arial" w:cs="Arial"/>
                <w:b/>
                <w:bCs/>
                <w:color w:val="000000"/>
                <w:sz w:val="20"/>
                <w:szCs w:val="20"/>
              </w:rPr>
              <w:t>nsurance</w:t>
            </w:r>
          </w:p>
        </w:tc>
        <w:tc>
          <w:tcPr>
            <w:tcW w:w="1080" w:type="dxa"/>
            <w:tcBorders>
              <w:top w:val="single" w:sz="8" w:space="0" w:color="BFBFBF"/>
              <w:left w:val="nil"/>
              <w:bottom w:val="single" w:sz="8" w:space="0" w:color="BFBFBF"/>
              <w:right w:val="single" w:sz="8" w:space="0" w:color="BFBFBF"/>
            </w:tcBorders>
            <w:shd w:val="clear" w:color="FFFFFF" w:fill="FFFFFF"/>
            <w:noWrap/>
            <w:vAlign w:val="center"/>
            <w:hideMark/>
          </w:tcPr>
          <w:p w14:paraId="67B73D41"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Pension</w:t>
            </w:r>
          </w:p>
        </w:tc>
        <w:tc>
          <w:tcPr>
            <w:tcW w:w="1007" w:type="dxa"/>
            <w:tcBorders>
              <w:top w:val="single" w:sz="8" w:space="0" w:color="BFBFBF"/>
              <w:left w:val="nil"/>
              <w:bottom w:val="single" w:sz="8" w:space="0" w:color="BFBFBF"/>
              <w:right w:val="single" w:sz="8" w:space="0" w:color="BFBFBF"/>
            </w:tcBorders>
            <w:shd w:val="clear" w:color="FFFFFF" w:fill="FFFFFF"/>
            <w:noWrap/>
            <w:vAlign w:val="center"/>
            <w:hideMark/>
          </w:tcPr>
          <w:p w14:paraId="7BB5DFFF"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TOTAL</w:t>
            </w:r>
          </w:p>
        </w:tc>
      </w:tr>
      <w:tr w:rsidR="00526755" w:rsidRPr="00526755" w14:paraId="79A73F67" w14:textId="77777777" w:rsidTr="00FA4054">
        <w:trPr>
          <w:trHeight w:val="60"/>
        </w:trPr>
        <w:tc>
          <w:tcPr>
            <w:tcW w:w="7499" w:type="dxa"/>
            <w:gridSpan w:val="6"/>
            <w:tcBorders>
              <w:top w:val="single" w:sz="8" w:space="0" w:color="BFBFBF"/>
              <w:left w:val="single" w:sz="8" w:space="0" w:color="BFBFBF"/>
              <w:bottom w:val="single" w:sz="8" w:space="0" w:color="BFBFBF"/>
              <w:right w:val="single" w:sz="8" w:space="0" w:color="BFBFBF"/>
            </w:tcBorders>
            <w:shd w:val="clear" w:color="000000" w:fill="FFFFFF"/>
            <w:vAlign w:val="center"/>
            <w:hideMark/>
          </w:tcPr>
          <w:p w14:paraId="5E68E85E" w14:textId="77777777" w:rsidR="00C07CCB" w:rsidRPr="00526755" w:rsidRDefault="00C07CCB" w:rsidP="003C139D">
            <w:pPr>
              <w:spacing w:before="120" w:after="120"/>
              <w:contextualSpacing/>
              <w:rPr>
                <w:rFonts w:ascii="Arial" w:hAnsi="Arial" w:cs="Arial"/>
                <w:b/>
                <w:bCs/>
                <w:color w:val="215E99" w:themeColor="text2" w:themeTint="BF"/>
                <w:sz w:val="20"/>
                <w:szCs w:val="20"/>
              </w:rPr>
            </w:pPr>
            <w:r w:rsidRPr="00526755">
              <w:rPr>
                <w:rFonts w:ascii="Arial" w:hAnsi="Arial" w:cs="Arial"/>
                <w:b/>
                <w:bCs/>
                <w:color w:val="215E99" w:themeColor="text2" w:themeTint="BF"/>
                <w:sz w:val="20"/>
                <w:szCs w:val="20"/>
              </w:rPr>
              <w:t>NJC:</w:t>
            </w:r>
          </w:p>
        </w:tc>
      </w:tr>
      <w:tr w:rsidR="00A82A06" w:rsidRPr="001F0712" w14:paraId="41EABA32" w14:textId="77777777" w:rsidTr="00396FAF">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203849C8" w14:textId="54E32A92" w:rsidR="00C07CCB" w:rsidRPr="001F0712" w:rsidRDefault="002124BC" w:rsidP="00A82A06">
            <w:pPr>
              <w:spacing w:before="120" w:after="120"/>
              <w:contextualSpacing/>
              <w:rPr>
                <w:rFonts w:ascii="Arial" w:hAnsi="Arial" w:cs="Arial"/>
                <w:i/>
                <w:iCs/>
                <w:sz w:val="20"/>
                <w:szCs w:val="20"/>
              </w:rPr>
            </w:pPr>
            <w:r w:rsidRPr="001F0712">
              <w:rPr>
                <w:rFonts w:ascii="Arial" w:hAnsi="Arial" w:cs="Arial"/>
                <w:i/>
                <w:iCs/>
                <w:sz w:val="20"/>
                <w:szCs w:val="20"/>
              </w:rPr>
              <w:t>Not Used</w:t>
            </w:r>
          </w:p>
        </w:tc>
        <w:tc>
          <w:tcPr>
            <w:tcW w:w="1020" w:type="dxa"/>
            <w:tcBorders>
              <w:top w:val="nil"/>
              <w:left w:val="nil"/>
              <w:bottom w:val="single" w:sz="8" w:space="0" w:color="BFBFBF"/>
              <w:right w:val="single" w:sz="8" w:space="0" w:color="BFBFBF"/>
            </w:tcBorders>
            <w:shd w:val="clear" w:color="000000" w:fill="FFFFFF"/>
            <w:noWrap/>
            <w:vAlign w:val="center"/>
            <w:hideMark/>
          </w:tcPr>
          <w:p w14:paraId="2A733EC5" w14:textId="77777777" w:rsidR="00C07CCB" w:rsidRPr="001F0712" w:rsidRDefault="00C07CCB" w:rsidP="003C139D">
            <w:pPr>
              <w:spacing w:before="120" w:after="120"/>
              <w:contextualSpacing/>
              <w:jc w:val="center"/>
              <w:rPr>
                <w:rFonts w:ascii="Arial" w:hAnsi="Arial" w:cs="Arial"/>
                <w:b/>
                <w:bCs/>
                <w:i/>
                <w:iCs/>
                <w:color w:val="000000"/>
                <w:sz w:val="20"/>
                <w:szCs w:val="20"/>
              </w:rPr>
            </w:pPr>
            <w:r w:rsidRPr="001F0712">
              <w:rPr>
                <w:rFonts w:ascii="Arial" w:hAnsi="Arial" w:cs="Arial"/>
                <w:b/>
                <w:bCs/>
                <w:i/>
                <w:iCs/>
                <w:color w:val="000000"/>
                <w:sz w:val="20"/>
                <w:szCs w:val="20"/>
              </w:rPr>
              <w:t>1</w:t>
            </w:r>
          </w:p>
        </w:tc>
        <w:tc>
          <w:tcPr>
            <w:tcW w:w="1390" w:type="dxa"/>
            <w:tcBorders>
              <w:top w:val="nil"/>
              <w:left w:val="nil"/>
              <w:bottom w:val="single" w:sz="8" w:space="0" w:color="BFBFBF"/>
              <w:right w:val="single" w:sz="8" w:space="0" w:color="BFBFBF"/>
            </w:tcBorders>
            <w:shd w:val="clear" w:color="000000" w:fill="FFFFFF"/>
            <w:noWrap/>
            <w:vAlign w:val="center"/>
          </w:tcPr>
          <w:p w14:paraId="223BDF7D" w14:textId="5B23EFFB" w:rsidR="00C07CCB" w:rsidRPr="001F0712" w:rsidRDefault="00C07CCB" w:rsidP="003C139D">
            <w:pPr>
              <w:spacing w:before="120" w:after="120"/>
              <w:contextualSpacing/>
              <w:jc w:val="center"/>
              <w:rPr>
                <w:rFonts w:ascii="Arial" w:hAnsi="Arial" w:cs="Arial"/>
                <w:i/>
                <w:iCs/>
                <w:color w:val="000000"/>
                <w:sz w:val="20"/>
                <w:szCs w:val="20"/>
              </w:rPr>
            </w:pPr>
          </w:p>
        </w:tc>
        <w:tc>
          <w:tcPr>
            <w:tcW w:w="1295" w:type="dxa"/>
            <w:tcBorders>
              <w:top w:val="nil"/>
              <w:left w:val="nil"/>
              <w:bottom w:val="single" w:sz="8" w:space="0" w:color="BFBFBF"/>
              <w:right w:val="single" w:sz="8" w:space="0" w:color="BFBFBF"/>
            </w:tcBorders>
            <w:shd w:val="clear" w:color="000000" w:fill="FFFFFF"/>
            <w:noWrap/>
            <w:vAlign w:val="center"/>
          </w:tcPr>
          <w:p w14:paraId="6DF982AB" w14:textId="5A2F1420" w:rsidR="00C07CCB" w:rsidRPr="001F0712" w:rsidRDefault="00C07CCB" w:rsidP="003C139D">
            <w:pPr>
              <w:spacing w:before="120" w:after="120"/>
              <w:contextualSpacing/>
              <w:jc w:val="center"/>
              <w:rPr>
                <w:rFonts w:ascii="Arial" w:hAnsi="Arial" w:cs="Arial"/>
                <w:i/>
                <w:iCs/>
                <w:color w:val="000000"/>
                <w:sz w:val="20"/>
                <w:szCs w:val="20"/>
              </w:rPr>
            </w:pPr>
          </w:p>
        </w:tc>
        <w:tc>
          <w:tcPr>
            <w:tcW w:w="1080" w:type="dxa"/>
            <w:tcBorders>
              <w:top w:val="nil"/>
              <w:left w:val="nil"/>
              <w:bottom w:val="single" w:sz="8" w:space="0" w:color="BFBFBF"/>
              <w:right w:val="single" w:sz="8" w:space="0" w:color="BFBFBF"/>
            </w:tcBorders>
            <w:shd w:val="clear" w:color="000000" w:fill="FFFFFF"/>
            <w:noWrap/>
            <w:vAlign w:val="center"/>
          </w:tcPr>
          <w:p w14:paraId="1816C62C" w14:textId="495843D5" w:rsidR="00C07CCB" w:rsidRPr="001F0712" w:rsidRDefault="00C07CCB" w:rsidP="003C139D">
            <w:pPr>
              <w:spacing w:before="120" w:after="120"/>
              <w:contextualSpacing/>
              <w:jc w:val="center"/>
              <w:rPr>
                <w:rFonts w:ascii="Arial" w:hAnsi="Arial" w:cs="Arial"/>
                <w:i/>
                <w:iCs/>
                <w:color w:val="000000"/>
                <w:sz w:val="20"/>
                <w:szCs w:val="20"/>
              </w:rPr>
            </w:pPr>
          </w:p>
        </w:tc>
        <w:tc>
          <w:tcPr>
            <w:tcW w:w="1007" w:type="dxa"/>
            <w:tcBorders>
              <w:top w:val="nil"/>
              <w:left w:val="nil"/>
              <w:bottom w:val="single" w:sz="8" w:space="0" w:color="BFBFBF"/>
              <w:right w:val="single" w:sz="8" w:space="0" w:color="BFBFBF"/>
            </w:tcBorders>
            <w:shd w:val="clear" w:color="000000" w:fill="FFFFFF"/>
            <w:noWrap/>
            <w:vAlign w:val="center"/>
          </w:tcPr>
          <w:p w14:paraId="3CBD36C3" w14:textId="6AEAB615" w:rsidR="00C07CCB" w:rsidRPr="001F0712" w:rsidRDefault="00C07CCB" w:rsidP="003C139D">
            <w:pPr>
              <w:spacing w:before="120" w:after="120"/>
              <w:contextualSpacing/>
              <w:jc w:val="center"/>
              <w:rPr>
                <w:rFonts w:ascii="Arial" w:hAnsi="Arial" w:cs="Arial"/>
                <w:i/>
                <w:iCs/>
                <w:color w:val="000000"/>
                <w:sz w:val="20"/>
                <w:szCs w:val="20"/>
              </w:rPr>
            </w:pPr>
          </w:p>
        </w:tc>
      </w:tr>
      <w:tr w:rsidR="00A82A06" w:rsidRPr="001F0712" w14:paraId="207D26EA"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64F5E475"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Sc 1</w:t>
            </w:r>
          </w:p>
        </w:tc>
        <w:tc>
          <w:tcPr>
            <w:tcW w:w="1020" w:type="dxa"/>
            <w:tcBorders>
              <w:top w:val="nil"/>
              <w:left w:val="nil"/>
              <w:bottom w:val="single" w:sz="8" w:space="0" w:color="BFBFBF"/>
              <w:right w:val="single" w:sz="8" w:space="0" w:color="BFBFBF"/>
            </w:tcBorders>
            <w:shd w:val="clear" w:color="000000" w:fill="FFFFFF"/>
            <w:noWrap/>
            <w:vAlign w:val="center"/>
            <w:hideMark/>
          </w:tcPr>
          <w:p w14:paraId="484A439B"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2</w:t>
            </w:r>
          </w:p>
        </w:tc>
        <w:tc>
          <w:tcPr>
            <w:tcW w:w="1390" w:type="dxa"/>
            <w:tcBorders>
              <w:top w:val="nil"/>
              <w:left w:val="nil"/>
              <w:bottom w:val="single" w:sz="8" w:space="0" w:color="BFBFBF"/>
              <w:right w:val="single" w:sz="8" w:space="0" w:color="BFBFBF"/>
            </w:tcBorders>
            <w:shd w:val="clear" w:color="000000" w:fill="FFFFFF"/>
            <w:noWrap/>
            <w:vAlign w:val="center"/>
            <w:hideMark/>
          </w:tcPr>
          <w:p w14:paraId="641068BF" w14:textId="7750F425"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23,656 </w:t>
            </w:r>
          </w:p>
        </w:tc>
        <w:tc>
          <w:tcPr>
            <w:tcW w:w="1295" w:type="dxa"/>
            <w:tcBorders>
              <w:top w:val="nil"/>
              <w:left w:val="nil"/>
              <w:bottom w:val="single" w:sz="8" w:space="0" w:color="BFBFBF"/>
              <w:right w:val="single" w:sz="8" w:space="0" w:color="BFBFBF"/>
            </w:tcBorders>
            <w:shd w:val="clear" w:color="000000" w:fill="FFFFFF"/>
            <w:noWrap/>
            <w:vAlign w:val="bottom"/>
            <w:hideMark/>
          </w:tcPr>
          <w:p w14:paraId="648F669D" w14:textId="7D8AD997" w:rsidR="00C07CCB" w:rsidRPr="001F0712" w:rsidRDefault="00C07CCB" w:rsidP="003C139D">
            <w:pPr>
              <w:spacing w:before="120" w:after="120"/>
              <w:contextualSpacing/>
              <w:jc w:val="center"/>
              <w:rPr>
                <w:rFonts w:ascii="Arial" w:hAnsi="Arial" w:cs="Arial"/>
                <w:sz w:val="20"/>
                <w:szCs w:val="20"/>
              </w:rPr>
            </w:pPr>
            <w:r w:rsidRPr="001F0712">
              <w:rPr>
                <w:rFonts w:ascii="Arial" w:hAnsi="Arial" w:cs="Arial"/>
                <w:sz w:val="20"/>
                <w:szCs w:val="20"/>
              </w:rPr>
              <w:t xml:space="preserve">2,799 </w:t>
            </w:r>
          </w:p>
        </w:tc>
        <w:tc>
          <w:tcPr>
            <w:tcW w:w="1080" w:type="dxa"/>
            <w:tcBorders>
              <w:top w:val="nil"/>
              <w:left w:val="nil"/>
              <w:bottom w:val="single" w:sz="8" w:space="0" w:color="BFBFBF"/>
              <w:right w:val="single" w:sz="8" w:space="0" w:color="BFBFBF"/>
            </w:tcBorders>
            <w:shd w:val="clear" w:color="000000" w:fill="FFFFFF"/>
            <w:noWrap/>
            <w:vAlign w:val="bottom"/>
            <w:hideMark/>
          </w:tcPr>
          <w:p w14:paraId="6C607F35" w14:textId="0816416C"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4,211 </w:t>
            </w:r>
          </w:p>
        </w:tc>
        <w:tc>
          <w:tcPr>
            <w:tcW w:w="1007" w:type="dxa"/>
            <w:tcBorders>
              <w:top w:val="nil"/>
              <w:left w:val="nil"/>
              <w:bottom w:val="single" w:sz="8" w:space="0" w:color="BFBFBF"/>
              <w:right w:val="single" w:sz="8" w:space="0" w:color="BFBFBF"/>
            </w:tcBorders>
            <w:shd w:val="clear" w:color="000000" w:fill="FFFFFF"/>
            <w:noWrap/>
            <w:vAlign w:val="bottom"/>
            <w:hideMark/>
          </w:tcPr>
          <w:p w14:paraId="4CFCFCDA" w14:textId="275BD5AF"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30,666 </w:t>
            </w:r>
          </w:p>
        </w:tc>
      </w:tr>
      <w:tr w:rsidR="00A82A06" w:rsidRPr="001F0712" w14:paraId="36766F0F" w14:textId="77777777" w:rsidTr="00FA4054">
        <w:trPr>
          <w:trHeight w:val="143"/>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7C4AB22D"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Sc 1 and Sc 2</w:t>
            </w:r>
          </w:p>
        </w:tc>
        <w:tc>
          <w:tcPr>
            <w:tcW w:w="1020" w:type="dxa"/>
            <w:tcBorders>
              <w:top w:val="nil"/>
              <w:left w:val="nil"/>
              <w:bottom w:val="single" w:sz="8" w:space="0" w:color="BFBFBF"/>
              <w:right w:val="single" w:sz="8" w:space="0" w:color="BFBFBF"/>
            </w:tcBorders>
            <w:shd w:val="clear" w:color="000000" w:fill="FFFFFF"/>
            <w:noWrap/>
            <w:vAlign w:val="center"/>
            <w:hideMark/>
          </w:tcPr>
          <w:p w14:paraId="58A25A03"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3</w:t>
            </w:r>
          </w:p>
        </w:tc>
        <w:tc>
          <w:tcPr>
            <w:tcW w:w="1390" w:type="dxa"/>
            <w:tcBorders>
              <w:top w:val="nil"/>
              <w:left w:val="nil"/>
              <w:bottom w:val="single" w:sz="8" w:space="0" w:color="BFBFBF"/>
              <w:right w:val="single" w:sz="8" w:space="0" w:color="BFBFBF"/>
            </w:tcBorders>
            <w:shd w:val="clear" w:color="000000" w:fill="FFFFFF"/>
            <w:noWrap/>
            <w:vAlign w:val="center"/>
            <w:hideMark/>
          </w:tcPr>
          <w:p w14:paraId="6764140E" w14:textId="302C1F35"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24,027 </w:t>
            </w:r>
          </w:p>
        </w:tc>
        <w:tc>
          <w:tcPr>
            <w:tcW w:w="1295" w:type="dxa"/>
            <w:tcBorders>
              <w:top w:val="nil"/>
              <w:left w:val="nil"/>
              <w:bottom w:val="single" w:sz="8" w:space="0" w:color="BFBFBF"/>
              <w:right w:val="single" w:sz="8" w:space="0" w:color="BFBFBF"/>
            </w:tcBorders>
            <w:shd w:val="clear" w:color="000000" w:fill="FFFFFF"/>
            <w:noWrap/>
            <w:vAlign w:val="bottom"/>
            <w:hideMark/>
          </w:tcPr>
          <w:p w14:paraId="05625DAB" w14:textId="164564A4" w:rsidR="00C07CCB" w:rsidRPr="001F0712" w:rsidRDefault="00C07CCB" w:rsidP="003C139D">
            <w:pPr>
              <w:spacing w:before="120" w:after="120"/>
              <w:contextualSpacing/>
              <w:jc w:val="center"/>
              <w:rPr>
                <w:rFonts w:ascii="Arial" w:hAnsi="Arial" w:cs="Arial"/>
                <w:sz w:val="20"/>
                <w:szCs w:val="20"/>
              </w:rPr>
            </w:pPr>
            <w:r w:rsidRPr="001F0712">
              <w:rPr>
                <w:rFonts w:ascii="Arial" w:hAnsi="Arial" w:cs="Arial"/>
                <w:sz w:val="20"/>
                <w:szCs w:val="20"/>
              </w:rPr>
              <w:t xml:space="preserve">2,854 </w:t>
            </w:r>
          </w:p>
        </w:tc>
        <w:tc>
          <w:tcPr>
            <w:tcW w:w="1080" w:type="dxa"/>
            <w:tcBorders>
              <w:top w:val="nil"/>
              <w:left w:val="nil"/>
              <w:bottom w:val="single" w:sz="8" w:space="0" w:color="BFBFBF"/>
              <w:right w:val="single" w:sz="8" w:space="0" w:color="BFBFBF"/>
            </w:tcBorders>
            <w:shd w:val="clear" w:color="000000" w:fill="FFFFFF"/>
            <w:noWrap/>
            <w:vAlign w:val="bottom"/>
            <w:hideMark/>
          </w:tcPr>
          <w:p w14:paraId="29B010E9" w14:textId="49A51852"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4,277 </w:t>
            </w:r>
          </w:p>
        </w:tc>
        <w:tc>
          <w:tcPr>
            <w:tcW w:w="1007" w:type="dxa"/>
            <w:tcBorders>
              <w:top w:val="nil"/>
              <w:left w:val="nil"/>
              <w:bottom w:val="single" w:sz="8" w:space="0" w:color="BFBFBF"/>
              <w:right w:val="single" w:sz="8" w:space="0" w:color="BFBFBF"/>
            </w:tcBorders>
            <w:shd w:val="clear" w:color="000000" w:fill="FFFFFF"/>
            <w:noWrap/>
            <w:vAlign w:val="bottom"/>
            <w:hideMark/>
          </w:tcPr>
          <w:p w14:paraId="62857F6D" w14:textId="26572D51"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31,158 </w:t>
            </w:r>
          </w:p>
        </w:tc>
      </w:tr>
      <w:tr w:rsidR="00A82A06" w:rsidRPr="001F0712" w14:paraId="61A7345E" w14:textId="77777777" w:rsidTr="00FA4054">
        <w:trPr>
          <w:trHeight w:val="175"/>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788F72F4"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Sc 2</w:t>
            </w:r>
          </w:p>
        </w:tc>
        <w:tc>
          <w:tcPr>
            <w:tcW w:w="1020" w:type="dxa"/>
            <w:tcBorders>
              <w:top w:val="nil"/>
              <w:left w:val="nil"/>
              <w:bottom w:val="single" w:sz="8" w:space="0" w:color="BFBFBF"/>
              <w:right w:val="single" w:sz="8" w:space="0" w:color="BFBFBF"/>
            </w:tcBorders>
            <w:shd w:val="clear" w:color="000000" w:fill="FFFFFF"/>
            <w:noWrap/>
            <w:vAlign w:val="center"/>
            <w:hideMark/>
          </w:tcPr>
          <w:p w14:paraId="3239F90C"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4</w:t>
            </w:r>
          </w:p>
        </w:tc>
        <w:tc>
          <w:tcPr>
            <w:tcW w:w="1390" w:type="dxa"/>
            <w:tcBorders>
              <w:top w:val="nil"/>
              <w:left w:val="nil"/>
              <w:bottom w:val="single" w:sz="8" w:space="0" w:color="BFBFBF"/>
              <w:right w:val="single" w:sz="8" w:space="0" w:color="BFBFBF"/>
            </w:tcBorders>
            <w:shd w:val="clear" w:color="000000" w:fill="FFFFFF"/>
            <w:noWrap/>
            <w:vAlign w:val="center"/>
            <w:hideMark/>
          </w:tcPr>
          <w:p w14:paraId="75140551" w14:textId="0BFD1AC7"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24,404 </w:t>
            </w:r>
          </w:p>
        </w:tc>
        <w:tc>
          <w:tcPr>
            <w:tcW w:w="1295" w:type="dxa"/>
            <w:tcBorders>
              <w:top w:val="nil"/>
              <w:left w:val="nil"/>
              <w:bottom w:val="single" w:sz="8" w:space="0" w:color="BFBFBF"/>
              <w:right w:val="single" w:sz="8" w:space="0" w:color="BFBFBF"/>
            </w:tcBorders>
            <w:shd w:val="clear" w:color="FFFFFF" w:fill="FFFFFF"/>
            <w:noWrap/>
            <w:vAlign w:val="bottom"/>
            <w:hideMark/>
          </w:tcPr>
          <w:p w14:paraId="1C1CEAF7" w14:textId="7F32B473" w:rsidR="00C07CCB" w:rsidRPr="001F0712" w:rsidRDefault="00C07CCB" w:rsidP="003C139D">
            <w:pPr>
              <w:spacing w:before="120" w:after="120"/>
              <w:contextualSpacing/>
              <w:jc w:val="center"/>
              <w:rPr>
                <w:rFonts w:ascii="Arial" w:hAnsi="Arial" w:cs="Arial"/>
                <w:sz w:val="20"/>
                <w:szCs w:val="20"/>
              </w:rPr>
            </w:pPr>
            <w:r w:rsidRPr="001F0712">
              <w:rPr>
                <w:rFonts w:ascii="Arial" w:hAnsi="Arial" w:cs="Arial"/>
                <w:sz w:val="20"/>
                <w:szCs w:val="20"/>
              </w:rPr>
              <w:t xml:space="preserve">2,911 </w:t>
            </w:r>
          </w:p>
        </w:tc>
        <w:tc>
          <w:tcPr>
            <w:tcW w:w="1080" w:type="dxa"/>
            <w:tcBorders>
              <w:top w:val="nil"/>
              <w:left w:val="nil"/>
              <w:bottom w:val="single" w:sz="8" w:space="0" w:color="BFBFBF"/>
              <w:right w:val="single" w:sz="8" w:space="0" w:color="BFBFBF"/>
            </w:tcBorders>
            <w:shd w:val="clear" w:color="FFFFFF" w:fill="FFFFFF"/>
            <w:noWrap/>
            <w:vAlign w:val="bottom"/>
            <w:hideMark/>
          </w:tcPr>
          <w:p w14:paraId="1C6EC6FF" w14:textId="21EFE199"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4,344 </w:t>
            </w:r>
          </w:p>
        </w:tc>
        <w:tc>
          <w:tcPr>
            <w:tcW w:w="1007" w:type="dxa"/>
            <w:tcBorders>
              <w:top w:val="nil"/>
              <w:left w:val="nil"/>
              <w:bottom w:val="single" w:sz="8" w:space="0" w:color="BFBFBF"/>
              <w:right w:val="single" w:sz="8" w:space="0" w:color="BFBFBF"/>
            </w:tcBorders>
            <w:shd w:val="clear" w:color="FFFFFF" w:fill="FFFFFF"/>
            <w:noWrap/>
            <w:vAlign w:val="bottom"/>
            <w:hideMark/>
          </w:tcPr>
          <w:p w14:paraId="60D4E021" w14:textId="14814AC4"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31,659 </w:t>
            </w:r>
          </w:p>
        </w:tc>
      </w:tr>
      <w:tr w:rsidR="00A82A06" w:rsidRPr="001F0712" w14:paraId="3E283308" w14:textId="77777777" w:rsidTr="00FA4054">
        <w:trPr>
          <w:trHeight w:val="65"/>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6690E6F1"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Sc 2 and Sc 3</w:t>
            </w:r>
          </w:p>
        </w:tc>
        <w:tc>
          <w:tcPr>
            <w:tcW w:w="1020" w:type="dxa"/>
            <w:tcBorders>
              <w:top w:val="nil"/>
              <w:left w:val="nil"/>
              <w:bottom w:val="single" w:sz="8" w:space="0" w:color="BFBFBF"/>
              <w:right w:val="single" w:sz="8" w:space="0" w:color="BFBFBF"/>
            </w:tcBorders>
            <w:shd w:val="clear" w:color="000000" w:fill="FFFFFF"/>
            <w:noWrap/>
            <w:vAlign w:val="center"/>
            <w:hideMark/>
          </w:tcPr>
          <w:p w14:paraId="5FF8A1DC"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5</w:t>
            </w:r>
          </w:p>
        </w:tc>
        <w:tc>
          <w:tcPr>
            <w:tcW w:w="1390" w:type="dxa"/>
            <w:tcBorders>
              <w:top w:val="nil"/>
              <w:left w:val="nil"/>
              <w:bottom w:val="single" w:sz="8" w:space="0" w:color="BFBFBF"/>
              <w:right w:val="single" w:sz="8" w:space="0" w:color="BFBFBF"/>
            </w:tcBorders>
            <w:shd w:val="clear" w:color="000000" w:fill="FFFFFF"/>
            <w:noWrap/>
            <w:vAlign w:val="center"/>
            <w:hideMark/>
          </w:tcPr>
          <w:p w14:paraId="60666DDB" w14:textId="74B658B4"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24,790 </w:t>
            </w:r>
          </w:p>
        </w:tc>
        <w:tc>
          <w:tcPr>
            <w:tcW w:w="1295" w:type="dxa"/>
            <w:tcBorders>
              <w:top w:val="nil"/>
              <w:left w:val="nil"/>
              <w:bottom w:val="single" w:sz="8" w:space="0" w:color="BFBFBF"/>
              <w:right w:val="single" w:sz="8" w:space="0" w:color="BFBFBF"/>
            </w:tcBorders>
            <w:shd w:val="clear" w:color="000000" w:fill="FFFFFF"/>
            <w:noWrap/>
            <w:vAlign w:val="bottom"/>
            <w:hideMark/>
          </w:tcPr>
          <w:p w14:paraId="54914AD7" w14:textId="5741ADEA" w:rsidR="00C07CCB" w:rsidRPr="001F0712" w:rsidRDefault="00C07CCB" w:rsidP="003C139D">
            <w:pPr>
              <w:spacing w:before="120" w:after="120"/>
              <w:contextualSpacing/>
              <w:jc w:val="center"/>
              <w:rPr>
                <w:rFonts w:ascii="Arial" w:hAnsi="Arial" w:cs="Arial"/>
                <w:sz w:val="20"/>
                <w:szCs w:val="20"/>
              </w:rPr>
            </w:pPr>
            <w:r w:rsidRPr="001F0712">
              <w:rPr>
                <w:rFonts w:ascii="Arial" w:hAnsi="Arial" w:cs="Arial"/>
                <w:sz w:val="20"/>
                <w:szCs w:val="20"/>
              </w:rPr>
              <w:t xml:space="preserve">2,969 </w:t>
            </w:r>
          </w:p>
        </w:tc>
        <w:tc>
          <w:tcPr>
            <w:tcW w:w="1080" w:type="dxa"/>
            <w:tcBorders>
              <w:top w:val="nil"/>
              <w:left w:val="nil"/>
              <w:bottom w:val="single" w:sz="8" w:space="0" w:color="BFBFBF"/>
              <w:right w:val="single" w:sz="8" w:space="0" w:color="BFBFBF"/>
            </w:tcBorders>
            <w:shd w:val="clear" w:color="000000" w:fill="FFFFFF"/>
            <w:noWrap/>
            <w:vAlign w:val="bottom"/>
            <w:hideMark/>
          </w:tcPr>
          <w:p w14:paraId="64F1039A" w14:textId="408F869D"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4,413 </w:t>
            </w:r>
          </w:p>
        </w:tc>
        <w:tc>
          <w:tcPr>
            <w:tcW w:w="1007" w:type="dxa"/>
            <w:tcBorders>
              <w:top w:val="nil"/>
              <w:left w:val="nil"/>
              <w:bottom w:val="single" w:sz="8" w:space="0" w:color="BFBFBF"/>
              <w:right w:val="single" w:sz="8" w:space="0" w:color="BFBFBF"/>
            </w:tcBorders>
            <w:shd w:val="clear" w:color="000000" w:fill="FFFFFF"/>
            <w:noWrap/>
            <w:vAlign w:val="bottom"/>
            <w:hideMark/>
          </w:tcPr>
          <w:p w14:paraId="0D24218F" w14:textId="18BC7038"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32,172 </w:t>
            </w:r>
          </w:p>
        </w:tc>
      </w:tr>
      <w:tr w:rsidR="00A82A06" w:rsidRPr="001F0712" w14:paraId="21F51134"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273A89B5"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Sc 3</w:t>
            </w:r>
          </w:p>
        </w:tc>
        <w:tc>
          <w:tcPr>
            <w:tcW w:w="1020" w:type="dxa"/>
            <w:tcBorders>
              <w:top w:val="nil"/>
              <w:left w:val="nil"/>
              <w:bottom w:val="single" w:sz="8" w:space="0" w:color="BFBFBF"/>
              <w:right w:val="single" w:sz="8" w:space="0" w:color="BFBFBF"/>
            </w:tcBorders>
            <w:shd w:val="clear" w:color="000000" w:fill="FFFFFF"/>
            <w:noWrap/>
            <w:vAlign w:val="center"/>
            <w:hideMark/>
          </w:tcPr>
          <w:p w14:paraId="0BC1A964"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6</w:t>
            </w:r>
          </w:p>
        </w:tc>
        <w:tc>
          <w:tcPr>
            <w:tcW w:w="1390" w:type="dxa"/>
            <w:tcBorders>
              <w:top w:val="nil"/>
              <w:left w:val="nil"/>
              <w:bottom w:val="single" w:sz="8" w:space="0" w:color="BFBFBF"/>
              <w:right w:val="single" w:sz="8" w:space="0" w:color="BFBFBF"/>
            </w:tcBorders>
            <w:shd w:val="clear" w:color="000000" w:fill="FFFFFF"/>
            <w:noWrap/>
            <w:vAlign w:val="center"/>
            <w:hideMark/>
          </w:tcPr>
          <w:p w14:paraId="1F8C237E" w14:textId="4E135062"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25,183 </w:t>
            </w:r>
          </w:p>
        </w:tc>
        <w:tc>
          <w:tcPr>
            <w:tcW w:w="1295" w:type="dxa"/>
            <w:tcBorders>
              <w:top w:val="nil"/>
              <w:left w:val="nil"/>
              <w:bottom w:val="single" w:sz="8" w:space="0" w:color="BFBFBF"/>
              <w:right w:val="single" w:sz="8" w:space="0" w:color="BFBFBF"/>
            </w:tcBorders>
            <w:shd w:val="clear" w:color="000000" w:fill="FFFFFF"/>
            <w:noWrap/>
            <w:vAlign w:val="bottom"/>
            <w:hideMark/>
          </w:tcPr>
          <w:p w14:paraId="5E3A5B29" w14:textId="0DB9D9E1" w:rsidR="00C07CCB" w:rsidRPr="001F0712" w:rsidRDefault="00C07CCB" w:rsidP="003C139D">
            <w:pPr>
              <w:spacing w:before="120" w:after="120"/>
              <w:contextualSpacing/>
              <w:jc w:val="center"/>
              <w:rPr>
                <w:rFonts w:ascii="Arial" w:hAnsi="Arial" w:cs="Arial"/>
                <w:sz w:val="20"/>
                <w:szCs w:val="20"/>
              </w:rPr>
            </w:pPr>
            <w:r w:rsidRPr="001F0712">
              <w:rPr>
                <w:rFonts w:ascii="Arial" w:hAnsi="Arial" w:cs="Arial"/>
                <w:sz w:val="20"/>
                <w:szCs w:val="20"/>
              </w:rPr>
              <w:t xml:space="preserve">3,028 </w:t>
            </w:r>
          </w:p>
        </w:tc>
        <w:tc>
          <w:tcPr>
            <w:tcW w:w="1080" w:type="dxa"/>
            <w:tcBorders>
              <w:top w:val="nil"/>
              <w:left w:val="nil"/>
              <w:bottom w:val="single" w:sz="8" w:space="0" w:color="BFBFBF"/>
              <w:right w:val="single" w:sz="8" w:space="0" w:color="BFBFBF"/>
            </w:tcBorders>
            <w:shd w:val="clear" w:color="000000" w:fill="FFFFFF"/>
            <w:noWrap/>
            <w:vAlign w:val="bottom"/>
            <w:hideMark/>
          </w:tcPr>
          <w:p w14:paraId="7FC80B2F" w14:textId="0315C79E"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4,483 </w:t>
            </w:r>
          </w:p>
        </w:tc>
        <w:tc>
          <w:tcPr>
            <w:tcW w:w="1007" w:type="dxa"/>
            <w:tcBorders>
              <w:top w:val="nil"/>
              <w:left w:val="nil"/>
              <w:bottom w:val="single" w:sz="8" w:space="0" w:color="BFBFBF"/>
              <w:right w:val="single" w:sz="8" w:space="0" w:color="BFBFBF"/>
            </w:tcBorders>
            <w:shd w:val="clear" w:color="000000" w:fill="FFFFFF"/>
            <w:noWrap/>
            <w:vAlign w:val="bottom"/>
            <w:hideMark/>
          </w:tcPr>
          <w:p w14:paraId="3861FB5E" w14:textId="4C4D88BE"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32,694 </w:t>
            </w:r>
          </w:p>
        </w:tc>
      </w:tr>
      <w:tr w:rsidR="00A82A06" w:rsidRPr="001F0712" w14:paraId="57D7814F"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51A1B961"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Sc 3</w:t>
            </w:r>
          </w:p>
        </w:tc>
        <w:tc>
          <w:tcPr>
            <w:tcW w:w="1020" w:type="dxa"/>
            <w:tcBorders>
              <w:top w:val="nil"/>
              <w:left w:val="nil"/>
              <w:bottom w:val="single" w:sz="8" w:space="0" w:color="BFBFBF"/>
              <w:right w:val="single" w:sz="8" w:space="0" w:color="BFBFBF"/>
            </w:tcBorders>
            <w:shd w:val="clear" w:color="000000" w:fill="FFFFFF"/>
            <w:noWrap/>
            <w:vAlign w:val="center"/>
            <w:hideMark/>
          </w:tcPr>
          <w:p w14:paraId="44518EA3"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7</w:t>
            </w:r>
          </w:p>
        </w:tc>
        <w:tc>
          <w:tcPr>
            <w:tcW w:w="1390" w:type="dxa"/>
            <w:tcBorders>
              <w:top w:val="nil"/>
              <w:left w:val="nil"/>
              <w:bottom w:val="single" w:sz="8" w:space="0" w:color="BFBFBF"/>
              <w:right w:val="single" w:sz="8" w:space="0" w:color="BFBFBF"/>
            </w:tcBorders>
            <w:shd w:val="clear" w:color="000000" w:fill="FFFFFF"/>
            <w:noWrap/>
            <w:vAlign w:val="center"/>
            <w:hideMark/>
          </w:tcPr>
          <w:p w14:paraId="07D9D93C" w14:textId="4C015AF4"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25,584 </w:t>
            </w:r>
          </w:p>
        </w:tc>
        <w:tc>
          <w:tcPr>
            <w:tcW w:w="1295" w:type="dxa"/>
            <w:tcBorders>
              <w:top w:val="nil"/>
              <w:left w:val="nil"/>
              <w:bottom w:val="single" w:sz="8" w:space="0" w:color="BFBFBF"/>
              <w:right w:val="single" w:sz="8" w:space="0" w:color="BFBFBF"/>
            </w:tcBorders>
            <w:shd w:val="clear" w:color="000000" w:fill="FFFFFF"/>
            <w:noWrap/>
            <w:vAlign w:val="bottom"/>
            <w:hideMark/>
          </w:tcPr>
          <w:p w14:paraId="4B6F9A5A" w14:textId="4C337D1A"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3,088 </w:t>
            </w:r>
          </w:p>
        </w:tc>
        <w:tc>
          <w:tcPr>
            <w:tcW w:w="1080" w:type="dxa"/>
            <w:tcBorders>
              <w:top w:val="nil"/>
              <w:left w:val="nil"/>
              <w:bottom w:val="single" w:sz="8" w:space="0" w:color="BFBFBF"/>
              <w:right w:val="single" w:sz="8" w:space="0" w:color="BFBFBF"/>
            </w:tcBorders>
            <w:shd w:val="clear" w:color="000000" w:fill="FFFFFF"/>
            <w:noWrap/>
            <w:vAlign w:val="bottom"/>
            <w:hideMark/>
          </w:tcPr>
          <w:p w14:paraId="13815A72" w14:textId="6D6828D9"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4,554 </w:t>
            </w:r>
          </w:p>
        </w:tc>
        <w:tc>
          <w:tcPr>
            <w:tcW w:w="1007" w:type="dxa"/>
            <w:tcBorders>
              <w:top w:val="nil"/>
              <w:left w:val="nil"/>
              <w:bottom w:val="single" w:sz="8" w:space="0" w:color="BFBFBF"/>
              <w:right w:val="single" w:sz="8" w:space="0" w:color="BFBFBF"/>
            </w:tcBorders>
            <w:shd w:val="clear" w:color="000000" w:fill="FFFFFF"/>
            <w:noWrap/>
            <w:vAlign w:val="bottom"/>
            <w:hideMark/>
          </w:tcPr>
          <w:p w14:paraId="64778288" w14:textId="0FFAEA8A"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33,226 </w:t>
            </w:r>
          </w:p>
        </w:tc>
      </w:tr>
      <w:tr w:rsidR="00A82A06" w:rsidRPr="001F0712" w14:paraId="765B8C9F"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01888EBE"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Sc 4</w:t>
            </w:r>
          </w:p>
        </w:tc>
        <w:tc>
          <w:tcPr>
            <w:tcW w:w="1020" w:type="dxa"/>
            <w:tcBorders>
              <w:top w:val="nil"/>
              <w:left w:val="nil"/>
              <w:bottom w:val="single" w:sz="8" w:space="0" w:color="BFBFBF"/>
              <w:right w:val="single" w:sz="8" w:space="0" w:color="BFBFBF"/>
            </w:tcBorders>
            <w:shd w:val="clear" w:color="000000" w:fill="FFFFFF"/>
            <w:noWrap/>
            <w:vAlign w:val="center"/>
            <w:hideMark/>
          </w:tcPr>
          <w:p w14:paraId="6ED8B6BC"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8</w:t>
            </w:r>
          </w:p>
        </w:tc>
        <w:tc>
          <w:tcPr>
            <w:tcW w:w="1390" w:type="dxa"/>
            <w:tcBorders>
              <w:top w:val="nil"/>
              <w:left w:val="nil"/>
              <w:bottom w:val="single" w:sz="8" w:space="0" w:color="BFBFBF"/>
              <w:right w:val="single" w:sz="8" w:space="0" w:color="BFBFBF"/>
            </w:tcBorders>
            <w:shd w:val="clear" w:color="000000" w:fill="FFFFFF"/>
            <w:noWrap/>
            <w:vAlign w:val="center"/>
            <w:hideMark/>
          </w:tcPr>
          <w:p w14:paraId="0AE72E7B" w14:textId="22E35CC8"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25,992 </w:t>
            </w:r>
          </w:p>
        </w:tc>
        <w:tc>
          <w:tcPr>
            <w:tcW w:w="1295" w:type="dxa"/>
            <w:tcBorders>
              <w:top w:val="nil"/>
              <w:left w:val="nil"/>
              <w:bottom w:val="single" w:sz="8" w:space="0" w:color="BFBFBF"/>
              <w:right w:val="single" w:sz="8" w:space="0" w:color="BFBFBF"/>
            </w:tcBorders>
            <w:shd w:val="clear" w:color="000000" w:fill="FFFFFF"/>
            <w:noWrap/>
            <w:vAlign w:val="bottom"/>
            <w:hideMark/>
          </w:tcPr>
          <w:p w14:paraId="61EEDE27" w14:textId="789DB43A"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3,149 </w:t>
            </w:r>
          </w:p>
        </w:tc>
        <w:tc>
          <w:tcPr>
            <w:tcW w:w="1080" w:type="dxa"/>
            <w:tcBorders>
              <w:top w:val="nil"/>
              <w:left w:val="nil"/>
              <w:bottom w:val="single" w:sz="8" w:space="0" w:color="BFBFBF"/>
              <w:right w:val="single" w:sz="8" w:space="0" w:color="BFBFBF"/>
            </w:tcBorders>
            <w:shd w:val="clear" w:color="000000" w:fill="FFFFFF"/>
            <w:noWrap/>
            <w:vAlign w:val="bottom"/>
            <w:hideMark/>
          </w:tcPr>
          <w:p w14:paraId="23CD6439" w14:textId="055682DB"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4,627 </w:t>
            </w:r>
          </w:p>
        </w:tc>
        <w:tc>
          <w:tcPr>
            <w:tcW w:w="1007" w:type="dxa"/>
            <w:tcBorders>
              <w:top w:val="nil"/>
              <w:left w:val="nil"/>
              <w:bottom w:val="single" w:sz="8" w:space="0" w:color="BFBFBF"/>
              <w:right w:val="single" w:sz="8" w:space="0" w:color="BFBFBF"/>
            </w:tcBorders>
            <w:shd w:val="clear" w:color="000000" w:fill="FFFFFF"/>
            <w:noWrap/>
            <w:vAlign w:val="bottom"/>
            <w:hideMark/>
          </w:tcPr>
          <w:p w14:paraId="198AA152" w14:textId="23C84B01"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33,768 </w:t>
            </w:r>
          </w:p>
        </w:tc>
      </w:tr>
      <w:tr w:rsidR="00A82A06" w:rsidRPr="001F0712" w14:paraId="6E92F20C"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312E94B1"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Sc 4</w:t>
            </w:r>
          </w:p>
        </w:tc>
        <w:tc>
          <w:tcPr>
            <w:tcW w:w="1020" w:type="dxa"/>
            <w:tcBorders>
              <w:top w:val="nil"/>
              <w:left w:val="nil"/>
              <w:bottom w:val="single" w:sz="8" w:space="0" w:color="BFBFBF"/>
              <w:right w:val="single" w:sz="8" w:space="0" w:color="BFBFBF"/>
            </w:tcBorders>
            <w:shd w:val="clear" w:color="000000" w:fill="FFFFFF"/>
            <w:noWrap/>
            <w:vAlign w:val="center"/>
            <w:hideMark/>
          </w:tcPr>
          <w:p w14:paraId="630B178D"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9</w:t>
            </w:r>
          </w:p>
        </w:tc>
        <w:tc>
          <w:tcPr>
            <w:tcW w:w="1390" w:type="dxa"/>
            <w:tcBorders>
              <w:top w:val="nil"/>
              <w:left w:val="nil"/>
              <w:bottom w:val="single" w:sz="8" w:space="0" w:color="BFBFBF"/>
              <w:right w:val="single" w:sz="8" w:space="0" w:color="BFBFBF"/>
            </w:tcBorders>
            <w:shd w:val="clear" w:color="000000" w:fill="FFFFFF"/>
            <w:noWrap/>
            <w:vAlign w:val="center"/>
            <w:hideMark/>
          </w:tcPr>
          <w:p w14:paraId="3B93607A" w14:textId="362CF81F"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26,409 </w:t>
            </w:r>
          </w:p>
        </w:tc>
        <w:tc>
          <w:tcPr>
            <w:tcW w:w="1295" w:type="dxa"/>
            <w:tcBorders>
              <w:top w:val="nil"/>
              <w:left w:val="nil"/>
              <w:bottom w:val="single" w:sz="8" w:space="0" w:color="BFBFBF"/>
              <w:right w:val="single" w:sz="8" w:space="0" w:color="BFBFBF"/>
            </w:tcBorders>
            <w:shd w:val="clear" w:color="000000" w:fill="FFFFFF"/>
            <w:noWrap/>
            <w:vAlign w:val="bottom"/>
            <w:hideMark/>
          </w:tcPr>
          <w:p w14:paraId="1FE90383" w14:textId="2518F00C"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3,212 </w:t>
            </w:r>
          </w:p>
        </w:tc>
        <w:tc>
          <w:tcPr>
            <w:tcW w:w="1080" w:type="dxa"/>
            <w:tcBorders>
              <w:top w:val="nil"/>
              <w:left w:val="nil"/>
              <w:bottom w:val="single" w:sz="8" w:space="0" w:color="BFBFBF"/>
              <w:right w:val="single" w:sz="8" w:space="0" w:color="BFBFBF"/>
            </w:tcBorders>
            <w:shd w:val="clear" w:color="000000" w:fill="FFFFFF"/>
            <w:noWrap/>
            <w:vAlign w:val="bottom"/>
            <w:hideMark/>
          </w:tcPr>
          <w:p w14:paraId="49386E3D" w14:textId="0D3FE410"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4,701 </w:t>
            </w:r>
          </w:p>
        </w:tc>
        <w:tc>
          <w:tcPr>
            <w:tcW w:w="1007" w:type="dxa"/>
            <w:tcBorders>
              <w:top w:val="nil"/>
              <w:left w:val="nil"/>
              <w:bottom w:val="single" w:sz="8" w:space="0" w:color="BFBFBF"/>
              <w:right w:val="single" w:sz="8" w:space="0" w:color="BFBFBF"/>
            </w:tcBorders>
            <w:shd w:val="clear" w:color="000000" w:fill="FFFFFF"/>
            <w:noWrap/>
            <w:vAlign w:val="bottom"/>
            <w:hideMark/>
          </w:tcPr>
          <w:p w14:paraId="14E9F61A" w14:textId="72B544EA"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34,322 </w:t>
            </w:r>
          </w:p>
        </w:tc>
      </w:tr>
      <w:tr w:rsidR="00A82A06" w:rsidRPr="001F0712" w14:paraId="419C9DAC"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165CB5D1"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Sc 4</w:t>
            </w:r>
          </w:p>
        </w:tc>
        <w:tc>
          <w:tcPr>
            <w:tcW w:w="1020" w:type="dxa"/>
            <w:tcBorders>
              <w:top w:val="nil"/>
              <w:left w:val="nil"/>
              <w:bottom w:val="single" w:sz="8" w:space="0" w:color="BFBFBF"/>
              <w:right w:val="single" w:sz="8" w:space="0" w:color="BFBFBF"/>
            </w:tcBorders>
            <w:shd w:val="clear" w:color="000000" w:fill="FFFFFF"/>
            <w:noWrap/>
            <w:vAlign w:val="center"/>
            <w:hideMark/>
          </w:tcPr>
          <w:p w14:paraId="7DB7C559"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10</w:t>
            </w:r>
          </w:p>
        </w:tc>
        <w:tc>
          <w:tcPr>
            <w:tcW w:w="1390" w:type="dxa"/>
            <w:tcBorders>
              <w:top w:val="nil"/>
              <w:left w:val="nil"/>
              <w:bottom w:val="single" w:sz="8" w:space="0" w:color="BFBFBF"/>
              <w:right w:val="single" w:sz="8" w:space="0" w:color="BFBFBF"/>
            </w:tcBorders>
            <w:shd w:val="clear" w:color="000000" w:fill="FFFFFF"/>
            <w:noWrap/>
            <w:vAlign w:val="center"/>
            <w:hideMark/>
          </w:tcPr>
          <w:p w14:paraId="0E1AF0E7" w14:textId="4EBAC5F6"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26,835 </w:t>
            </w:r>
          </w:p>
        </w:tc>
        <w:tc>
          <w:tcPr>
            <w:tcW w:w="1295" w:type="dxa"/>
            <w:tcBorders>
              <w:top w:val="nil"/>
              <w:left w:val="nil"/>
              <w:bottom w:val="single" w:sz="8" w:space="0" w:color="BFBFBF"/>
              <w:right w:val="single" w:sz="8" w:space="0" w:color="BFBFBF"/>
            </w:tcBorders>
            <w:shd w:val="clear" w:color="FFFFFF" w:fill="FFFFFF"/>
            <w:noWrap/>
            <w:vAlign w:val="bottom"/>
            <w:hideMark/>
          </w:tcPr>
          <w:p w14:paraId="3A989447" w14:textId="667B880B"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3,275 </w:t>
            </w:r>
          </w:p>
        </w:tc>
        <w:tc>
          <w:tcPr>
            <w:tcW w:w="1080" w:type="dxa"/>
            <w:tcBorders>
              <w:top w:val="nil"/>
              <w:left w:val="nil"/>
              <w:bottom w:val="single" w:sz="8" w:space="0" w:color="BFBFBF"/>
              <w:right w:val="single" w:sz="8" w:space="0" w:color="BFBFBF"/>
            </w:tcBorders>
            <w:shd w:val="clear" w:color="FFFFFF" w:fill="FFFFFF"/>
            <w:noWrap/>
            <w:vAlign w:val="bottom"/>
            <w:hideMark/>
          </w:tcPr>
          <w:p w14:paraId="0A7D30C7" w14:textId="61AFE61B"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4,777 </w:t>
            </w:r>
          </w:p>
        </w:tc>
        <w:tc>
          <w:tcPr>
            <w:tcW w:w="1007" w:type="dxa"/>
            <w:tcBorders>
              <w:top w:val="nil"/>
              <w:left w:val="nil"/>
              <w:bottom w:val="single" w:sz="8" w:space="0" w:color="BFBFBF"/>
              <w:right w:val="single" w:sz="8" w:space="0" w:color="BFBFBF"/>
            </w:tcBorders>
            <w:shd w:val="clear" w:color="FFFFFF" w:fill="FFFFFF"/>
            <w:noWrap/>
            <w:vAlign w:val="bottom"/>
            <w:hideMark/>
          </w:tcPr>
          <w:p w14:paraId="7FC4F29E" w14:textId="03D3E555"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34,887 </w:t>
            </w:r>
          </w:p>
        </w:tc>
      </w:tr>
      <w:tr w:rsidR="00A82A06" w:rsidRPr="001F0712" w14:paraId="48D32A03"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30599625"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Sc 4</w:t>
            </w:r>
          </w:p>
        </w:tc>
        <w:tc>
          <w:tcPr>
            <w:tcW w:w="1020" w:type="dxa"/>
            <w:tcBorders>
              <w:top w:val="nil"/>
              <w:left w:val="nil"/>
              <w:bottom w:val="single" w:sz="8" w:space="0" w:color="BFBFBF"/>
              <w:right w:val="single" w:sz="8" w:space="0" w:color="BFBFBF"/>
            </w:tcBorders>
            <w:shd w:val="clear" w:color="000000" w:fill="FFFFFF"/>
            <w:noWrap/>
            <w:vAlign w:val="center"/>
            <w:hideMark/>
          </w:tcPr>
          <w:p w14:paraId="77E1C7EE"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11</w:t>
            </w:r>
          </w:p>
        </w:tc>
        <w:tc>
          <w:tcPr>
            <w:tcW w:w="1390" w:type="dxa"/>
            <w:tcBorders>
              <w:top w:val="nil"/>
              <w:left w:val="nil"/>
              <w:bottom w:val="single" w:sz="8" w:space="0" w:color="BFBFBF"/>
              <w:right w:val="single" w:sz="8" w:space="0" w:color="BFBFBF"/>
            </w:tcBorders>
            <w:shd w:val="clear" w:color="000000" w:fill="FFFFFF"/>
            <w:noWrap/>
            <w:vAlign w:val="center"/>
            <w:hideMark/>
          </w:tcPr>
          <w:p w14:paraId="2BBFE209" w14:textId="0BC2F22C"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27,269 </w:t>
            </w:r>
          </w:p>
        </w:tc>
        <w:tc>
          <w:tcPr>
            <w:tcW w:w="1295" w:type="dxa"/>
            <w:tcBorders>
              <w:top w:val="nil"/>
              <w:left w:val="nil"/>
              <w:bottom w:val="single" w:sz="8" w:space="0" w:color="BFBFBF"/>
              <w:right w:val="single" w:sz="8" w:space="0" w:color="BFBFBF"/>
            </w:tcBorders>
            <w:shd w:val="clear" w:color="FFFFFF" w:fill="FFFFFF"/>
            <w:noWrap/>
            <w:vAlign w:val="bottom"/>
            <w:hideMark/>
          </w:tcPr>
          <w:p w14:paraId="7B4F2E62" w14:textId="61C22ED7"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3,341 </w:t>
            </w:r>
          </w:p>
        </w:tc>
        <w:tc>
          <w:tcPr>
            <w:tcW w:w="1080" w:type="dxa"/>
            <w:tcBorders>
              <w:top w:val="nil"/>
              <w:left w:val="nil"/>
              <w:bottom w:val="single" w:sz="8" w:space="0" w:color="BFBFBF"/>
              <w:right w:val="single" w:sz="8" w:space="0" w:color="BFBFBF"/>
            </w:tcBorders>
            <w:shd w:val="clear" w:color="FFFFFF" w:fill="FFFFFF"/>
            <w:noWrap/>
            <w:vAlign w:val="bottom"/>
            <w:hideMark/>
          </w:tcPr>
          <w:p w14:paraId="27B371DE" w14:textId="27E080CF"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4,854 </w:t>
            </w:r>
          </w:p>
        </w:tc>
        <w:tc>
          <w:tcPr>
            <w:tcW w:w="1007" w:type="dxa"/>
            <w:tcBorders>
              <w:top w:val="nil"/>
              <w:left w:val="nil"/>
              <w:bottom w:val="single" w:sz="8" w:space="0" w:color="BFBFBF"/>
              <w:right w:val="single" w:sz="8" w:space="0" w:color="BFBFBF"/>
            </w:tcBorders>
            <w:shd w:val="clear" w:color="FFFFFF" w:fill="FFFFFF"/>
            <w:noWrap/>
            <w:vAlign w:val="bottom"/>
            <w:hideMark/>
          </w:tcPr>
          <w:p w14:paraId="2A242CB0" w14:textId="27CAD5EB"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35,464 </w:t>
            </w:r>
          </w:p>
        </w:tc>
      </w:tr>
      <w:tr w:rsidR="00A82A06" w:rsidRPr="001F0712" w14:paraId="3ABEF2CE" w14:textId="77777777" w:rsidTr="00396FAF">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67FF9944" w14:textId="77777777" w:rsidR="00C07CCB" w:rsidRPr="001F0712" w:rsidRDefault="00C07CCB" w:rsidP="00A82A06">
            <w:pPr>
              <w:spacing w:before="120" w:after="120"/>
              <w:contextualSpacing/>
              <w:rPr>
                <w:rFonts w:ascii="Arial" w:hAnsi="Arial" w:cs="Arial"/>
                <w:i/>
                <w:iCs/>
                <w:sz w:val="20"/>
                <w:szCs w:val="20"/>
              </w:rPr>
            </w:pPr>
            <w:r w:rsidRPr="001F0712">
              <w:rPr>
                <w:rFonts w:ascii="Arial" w:hAnsi="Arial" w:cs="Arial"/>
                <w:i/>
                <w:iCs/>
                <w:sz w:val="20"/>
                <w:szCs w:val="20"/>
              </w:rPr>
              <w:t>Not Used</w:t>
            </w:r>
          </w:p>
        </w:tc>
        <w:tc>
          <w:tcPr>
            <w:tcW w:w="1020" w:type="dxa"/>
            <w:tcBorders>
              <w:top w:val="nil"/>
              <w:left w:val="nil"/>
              <w:bottom w:val="single" w:sz="8" w:space="0" w:color="BFBFBF"/>
              <w:right w:val="single" w:sz="8" w:space="0" w:color="BFBFBF"/>
            </w:tcBorders>
            <w:shd w:val="clear" w:color="000000" w:fill="FFFFFF"/>
            <w:noWrap/>
            <w:vAlign w:val="center"/>
            <w:hideMark/>
          </w:tcPr>
          <w:p w14:paraId="53A7C049" w14:textId="77777777" w:rsidR="00C07CCB" w:rsidRPr="001F0712" w:rsidRDefault="00C07CCB" w:rsidP="003C139D">
            <w:pPr>
              <w:spacing w:before="120" w:after="120"/>
              <w:contextualSpacing/>
              <w:jc w:val="center"/>
              <w:rPr>
                <w:rFonts w:ascii="Arial" w:hAnsi="Arial" w:cs="Arial"/>
                <w:b/>
                <w:bCs/>
                <w:i/>
                <w:iCs/>
                <w:color w:val="000000"/>
                <w:sz w:val="20"/>
                <w:szCs w:val="20"/>
              </w:rPr>
            </w:pPr>
            <w:r w:rsidRPr="001F0712">
              <w:rPr>
                <w:rFonts w:ascii="Arial" w:hAnsi="Arial" w:cs="Arial"/>
                <w:b/>
                <w:bCs/>
                <w:i/>
                <w:iCs/>
                <w:color w:val="000000"/>
                <w:sz w:val="20"/>
                <w:szCs w:val="20"/>
              </w:rPr>
              <w:t>12</w:t>
            </w:r>
          </w:p>
        </w:tc>
        <w:tc>
          <w:tcPr>
            <w:tcW w:w="1390" w:type="dxa"/>
            <w:tcBorders>
              <w:top w:val="nil"/>
              <w:left w:val="nil"/>
              <w:bottom w:val="single" w:sz="8" w:space="0" w:color="BFBFBF"/>
              <w:right w:val="single" w:sz="8" w:space="0" w:color="BFBFBF"/>
            </w:tcBorders>
            <w:shd w:val="clear" w:color="000000" w:fill="FFFFFF"/>
            <w:noWrap/>
            <w:vAlign w:val="center"/>
          </w:tcPr>
          <w:p w14:paraId="658890A7" w14:textId="4E9DFAF4" w:rsidR="00C07CCB" w:rsidRPr="001F0712" w:rsidRDefault="00C07CCB" w:rsidP="003C139D">
            <w:pPr>
              <w:spacing w:before="120" w:after="120"/>
              <w:contextualSpacing/>
              <w:jc w:val="center"/>
              <w:rPr>
                <w:rFonts w:ascii="Arial" w:hAnsi="Arial" w:cs="Arial"/>
                <w:i/>
                <w:iCs/>
                <w:color w:val="000000"/>
                <w:sz w:val="20"/>
                <w:szCs w:val="20"/>
              </w:rPr>
            </w:pPr>
          </w:p>
        </w:tc>
        <w:tc>
          <w:tcPr>
            <w:tcW w:w="1295" w:type="dxa"/>
            <w:tcBorders>
              <w:top w:val="nil"/>
              <w:left w:val="nil"/>
              <w:bottom w:val="single" w:sz="8" w:space="0" w:color="BFBFBF"/>
              <w:right w:val="single" w:sz="8" w:space="0" w:color="BFBFBF"/>
            </w:tcBorders>
            <w:shd w:val="clear" w:color="000000" w:fill="FFFFFF"/>
            <w:noWrap/>
            <w:vAlign w:val="center"/>
          </w:tcPr>
          <w:p w14:paraId="4322323B" w14:textId="4C4A0491" w:rsidR="00C07CCB" w:rsidRPr="001F0712" w:rsidRDefault="00C07CCB" w:rsidP="003C139D">
            <w:pPr>
              <w:spacing w:before="120" w:after="120"/>
              <w:contextualSpacing/>
              <w:jc w:val="center"/>
              <w:rPr>
                <w:rFonts w:ascii="Arial" w:hAnsi="Arial" w:cs="Arial"/>
                <w:i/>
                <w:iCs/>
                <w:color w:val="000000"/>
                <w:sz w:val="20"/>
                <w:szCs w:val="20"/>
              </w:rPr>
            </w:pPr>
          </w:p>
        </w:tc>
        <w:tc>
          <w:tcPr>
            <w:tcW w:w="1080" w:type="dxa"/>
            <w:tcBorders>
              <w:top w:val="nil"/>
              <w:left w:val="nil"/>
              <w:bottom w:val="single" w:sz="8" w:space="0" w:color="BFBFBF"/>
              <w:right w:val="single" w:sz="8" w:space="0" w:color="BFBFBF"/>
            </w:tcBorders>
            <w:shd w:val="clear" w:color="000000" w:fill="FFFFFF"/>
            <w:noWrap/>
            <w:vAlign w:val="center"/>
          </w:tcPr>
          <w:p w14:paraId="11EDD9ED" w14:textId="651AB2CB" w:rsidR="00C07CCB" w:rsidRPr="001F0712" w:rsidRDefault="00C07CCB" w:rsidP="003C139D">
            <w:pPr>
              <w:spacing w:before="120" w:after="120"/>
              <w:contextualSpacing/>
              <w:jc w:val="center"/>
              <w:rPr>
                <w:rFonts w:ascii="Arial" w:hAnsi="Arial" w:cs="Arial"/>
                <w:i/>
                <w:iCs/>
                <w:color w:val="000000"/>
                <w:sz w:val="20"/>
                <w:szCs w:val="20"/>
              </w:rPr>
            </w:pPr>
          </w:p>
        </w:tc>
        <w:tc>
          <w:tcPr>
            <w:tcW w:w="1007" w:type="dxa"/>
            <w:tcBorders>
              <w:top w:val="nil"/>
              <w:left w:val="nil"/>
              <w:bottom w:val="single" w:sz="8" w:space="0" w:color="BFBFBF"/>
              <w:right w:val="single" w:sz="8" w:space="0" w:color="BFBFBF"/>
            </w:tcBorders>
            <w:shd w:val="clear" w:color="000000" w:fill="FFFFFF"/>
            <w:noWrap/>
            <w:vAlign w:val="center"/>
          </w:tcPr>
          <w:p w14:paraId="6CCE206D" w14:textId="0CBA60A8" w:rsidR="00C07CCB" w:rsidRPr="001F0712" w:rsidRDefault="00C07CCB" w:rsidP="003C139D">
            <w:pPr>
              <w:spacing w:before="120" w:after="120"/>
              <w:contextualSpacing/>
              <w:jc w:val="center"/>
              <w:rPr>
                <w:rFonts w:ascii="Arial" w:hAnsi="Arial" w:cs="Arial"/>
                <w:i/>
                <w:iCs/>
                <w:color w:val="000000"/>
                <w:sz w:val="20"/>
                <w:szCs w:val="20"/>
              </w:rPr>
            </w:pPr>
          </w:p>
        </w:tc>
      </w:tr>
      <w:tr w:rsidR="00A82A06" w:rsidRPr="001F0712" w14:paraId="15965575" w14:textId="77777777" w:rsidTr="00396FAF">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4A759064" w14:textId="77777777" w:rsidR="00C07CCB" w:rsidRPr="001F0712" w:rsidRDefault="00C07CCB" w:rsidP="00A82A06">
            <w:pPr>
              <w:spacing w:before="120" w:after="120"/>
              <w:contextualSpacing/>
              <w:rPr>
                <w:rFonts w:ascii="Arial" w:hAnsi="Arial" w:cs="Arial"/>
                <w:i/>
                <w:iCs/>
                <w:sz w:val="20"/>
                <w:szCs w:val="20"/>
              </w:rPr>
            </w:pPr>
            <w:r w:rsidRPr="001F0712">
              <w:rPr>
                <w:rFonts w:ascii="Arial" w:hAnsi="Arial" w:cs="Arial"/>
                <w:i/>
                <w:iCs/>
                <w:sz w:val="20"/>
                <w:szCs w:val="20"/>
              </w:rPr>
              <w:t>Not Used</w:t>
            </w:r>
          </w:p>
        </w:tc>
        <w:tc>
          <w:tcPr>
            <w:tcW w:w="1020" w:type="dxa"/>
            <w:tcBorders>
              <w:top w:val="nil"/>
              <w:left w:val="nil"/>
              <w:bottom w:val="single" w:sz="8" w:space="0" w:color="BFBFBF"/>
              <w:right w:val="single" w:sz="8" w:space="0" w:color="BFBFBF"/>
            </w:tcBorders>
            <w:shd w:val="clear" w:color="000000" w:fill="FFFFFF"/>
            <w:noWrap/>
            <w:vAlign w:val="center"/>
            <w:hideMark/>
          </w:tcPr>
          <w:p w14:paraId="1B313814" w14:textId="77777777" w:rsidR="00C07CCB" w:rsidRPr="001F0712" w:rsidRDefault="00C07CCB" w:rsidP="003C139D">
            <w:pPr>
              <w:spacing w:before="120" w:after="120"/>
              <w:contextualSpacing/>
              <w:jc w:val="center"/>
              <w:rPr>
                <w:rFonts w:ascii="Arial" w:hAnsi="Arial" w:cs="Arial"/>
                <w:b/>
                <w:bCs/>
                <w:i/>
                <w:iCs/>
                <w:color w:val="000000"/>
                <w:sz w:val="20"/>
                <w:szCs w:val="20"/>
              </w:rPr>
            </w:pPr>
            <w:r w:rsidRPr="001F0712">
              <w:rPr>
                <w:rFonts w:ascii="Arial" w:hAnsi="Arial" w:cs="Arial"/>
                <w:b/>
                <w:bCs/>
                <w:i/>
                <w:iCs/>
                <w:color w:val="000000"/>
                <w:sz w:val="20"/>
                <w:szCs w:val="20"/>
              </w:rPr>
              <w:t>13</w:t>
            </w:r>
          </w:p>
        </w:tc>
        <w:tc>
          <w:tcPr>
            <w:tcW w:w="1390" w:type="dxa"/>
            <w:tcBorders>
              <w:top w:val="nil"/>
              <w:left w:val="nil"/>
              <w:bottom w:val="single" w:sz="8" w:space="0" w:color="BFBFBF"/>
              <w:right w:val="single" w:sz="8" w:space="0" w:color="BFBFBF"/>
            </w:tcBorders>
            <w:shd w:val="clear" w:color="000000" w:fill="FFFFFF"/>
            <w:noWrap/>
            <w:vAlign w:val="center"/>
          </w:tcPr>
          <w:p w14:paraId="4A411262" w14:textId="678E18AC" w:rsidR="00C07CCB" w:rsidRPr="001F0712" w:rsidRDefault="00C07CCB" w:rsidP="003C139D">
            <w:pPr>
              <w:spacing w:before="120" w:after="120"/>
              <w:contextualSpacing/>
              <w:jc w:val="center"/>
              <w:rPr>
                <w:rFonts w:ascii="Arial" w:hAnsi="Arial" w:cs="Arial"/>
                <w:i/>
                <w:iCs/>
                <w:color w:val="000000"/>
                <w:sz w:val="20"/>
                <w:szCs w:val="20"/>
              </w:rPr>
            </w:pPr>
          </w:p>
        </w:tc>
        <w:tc>
          <w:tcPr>
            <w:tcW w:w="1295" w:type="dxa"/>
            <w:tcBorders>
              <w:top w:val="nil"/>
              <w:left w:val="nil"/>
              <w:bottom w:val="single" w:sz="8" w:space="0" w:color="BFBFBF"/>
              <w:right w:val="single" w:sz="8" w:space="0" w:color="BFBFBF"/>
            </w:tcBorders>
            <w:shd w:val="clear" w:color="000000" w:fill="FFFFFF"/>
            <w:noWrap/>
            <w:vAlign w:val="center"/>
          </w:tcPr>
          <w:p w14:paraId="3D6B1F81" w14:textId="35C1D17A" w:rsidR="00C07CCB" w:rsidRPr="001F0712" w:rsidRDefault="00C07CCB" w:rsidP="003C139D">
            <w:pPr>
              <w:spacing w:before="120" w:after="120"/>
              <w:contextualSpacing/>
              <w:jc w:val="center"/>
              <w:rPr>
                <w:rFonts w:ascii="Arial" w:hAnsi="Arial" w:cs="Arial"/>
                <w:i/>
                <w:iCs/>
                <w:color w:val="000000"/>
                <w:sz w:val="20"/>
                <w:szCs w:val="20"/>
              </w:rPr>
            </w:pPr>
          </w:p>
        </w:tc>
        <w:tc>
          <w:tcPr>
            <w:tcW w:w="1080" w:type="dxa"/>
            <w:tcBorders>
              <w:top w:val="nil"/>
              <w:left w:val="nil"/>
              <w:bottom w:val="single" w:sz="8" w:space="0" w:color="BFBFBF"/>
              <w:right w:val="single" w:sz="8" w:space="0" w:color="BFBFBF"/>
            </w:tcBorders>
            <w:shd w:val="clear" w:color="000000" w:fill="FFFFFF"/>
            <w:noWrap/>
            <w:vAlign w:val="center"/>
          </w:tcPr>
          <w:p w14:paraId="51A472E7" w14:textId="32E5D24E" w:rsidR="00C07CCB" w:rsidRPr="001F0712" w:rsidRDefault="00C07CCB" w:rsidP="003C139D">
            <w:pPr>
              <w:spacing w:before="120" w:after="120"/>
              <w:contextualSpacing/>
              <w:jc w:val="center"/>
              <w:rPr>
                <w:rFonts w:ascii="Arial" w:hAnsi="Arial" w:cs="Arial"/>
                <w:i/>
                <w:iCs/>
                <w:color w:val="000000"/>
                <w:sz w:val="20"/>
                <w:szCs w:val="20"/>
              </w:rPr>
            </w:pPr>
          </w:p>
        </w:tc>
        <w:tc>
          <w:tcPr>
            <w:tcW w:w="1007" w:type="dxa"/>
            <w:tcBorders>
              <w:top w:val="nil"/>
              <w:left w:val="nil"/>
              <w:bottom w:val="single" w:sz="8" w:space="0" w:color="BFBFBF"/>
              <w:right w:val="single" w:sz="8" w:space="0" w:color="BFBFBF"/>
            </w:tcBorders>
            <w:shd w:val="clear" w:color="000000" w:fill="FFFFFF"/>
            <w:noWrap/>
            <w:vAlign w:val="center"/>
          </w:tcPr>
          <w:p w14:paraId="2CD8D5FF" w14:textId="1DB13909" w:rsidR="00C07CCB" w:rsidRPr="001F0712" w:rsidRDefault="00C07CCB" w:rsidP="003C139D">
            <w:pPr>
              <w:spacing w:before="120" w:after="120"/>
              <w:contextualSpacing/>
              <w:jc w:val="center"/>
              <w:rPr>
                <w:rFonts w:ascii="Arial" w:hAnsi="Arial" w:cs="Arial"/>
                <w:i/>
                <w:iCs/>
                <w:color w:val="000000"/>
                <w:sz w:val="20"/>
                <w:szCs w:val="20"/>
              </w:rPr>
            </w:pPr>
          </w:p>
        </w:tc>
      </w:tr>
      <w:tr w:rsidR="00A82A06" w:rsidRPr="001F0712" w14:paraId="2A65812D"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4359175C"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Sc 5</w:t>
            </w:r>
          </w:p>
        </w:tc>
        <w:tc>
          <w:tcPr>
            <w:tcW w:w="1020" w:type="dxa"/>
            <w:tcBorders>
              <w:top w:val="nil"/>
              <w:left w:val="nil"/>
              <w:bottom w:val="single" w:sz="8" w:space="0" w:color="BFBFBF"/>
              <w:right w:val="single" w:sz="8" w:space="0" w:color="BFBFBF"/>
            </w:tcBorders>
            <w:shd w:val="clear" w:color="000000" w:fill="FFFFFF"/>
            <w:noWrap/>
            <w:vAlign w:val="center"/>
            <w:hideMark/>
          </w:tcPr>
          <w:p w14:paraId="4BE2048E"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14</w:t>
            </w:r>
          </w:p>
        </w:tc>
        <w:tc>
          <w:tcPr>
            <w:tcW w:w="1390" w:type="dxa"/>
            <w:tcBorders>
              <w:top w:val="nil"/>
              <w:left w:val="nil"/>
              <w:bottom w:val="single" w:sz="8" w:space="0" w:color="BFBFBF"/>
              <w:right w:val="single" w:sz="8" w:space="0" w:color="BFBFBF"/>
            </w:tcBorders>
            <w:shd w:val="clear" w:color="000000" w:fill="FFFFFF"/>
            <w:noWrap/>
            <w:vAlign w:val="center"/>
            <w:hideMark/>
          </w:tcPr>
          <w:p w14:paraId="38D59726" w14:textId="05084107"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28,624 </w:t>
            </w:r>
          </w:p>
        </w:tc>
        <w:tc>
          <w:tcPr>
            <w:tcW w:w="1295" w:type="dxa"/>
            <w:tcBorders>
              <w:top w:val="nil"/>
              <w:left w:val="nil"/>
              <w:bottom w:val="single" w:sz="8" w:space="0" w:color="BFBFBF"/>
              <w:right w:val="single" w:sz="8" w:space="0" w:color="BFBFBF"/>
            </w:tcBorders>
            <w:shd w:val="clear" w:color="FFFFFF" w:fill="FFFFFF"/>
            <w:noWrap/>
            <w:vAlign w:val="bottom"/>
            <w:hideMark/>
          </w:tcPr>
          <w:p w14:paraId="7514654B" w14:textId="7F18E56D"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3,544 </w:t>
            </w:r>
          </w:p>
        </w:tc>
        <w:tc>
          <w:tcPr>
            <w:tcW w:w="1080" w:type="dxa"/>
            <w:tcBorders>
              <w:top w:val="nil"/>
              <w:left w:val="nil"/>
              <w:bottom w:val="single" w:sz="8" w:space="0" w:color="BFBFBF"/>
              <w:right w:val="single" w:sz="8" w:space="0" w:color="BFBFBF"/>
            </w:tcBorders>
            <w:shd w:val="clear" w:color="FFFFFF" w:fill="FFFFFF"/>
            <w:noWrap/>
            <w:vAlign w:val="bottom"/>
            <w:hideMark/>
          </w:tcPr>
          <w:p w14:paraId="2A7EDBF1" w14:textId="0924B625"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5,095 </w:t>
            </w:r>
          </w:p>
        </w:tc>
        <w:tc>
          <w:tcPr>
            <w:tcW w:w="1007" w:type="dxa"/>
            <w:tcBorders>
              <w:top w:val="nil"/>
              <w:left w:val="nil"/>
              <w:bottom w:val="single" w:sz="8" w:space="0" w:color="BFBFBF"/>
              <w:right w:val="single" w:sz="8" w:space="0" w:color="BFBFBF"/>
            </w:tcBorders>
            <w:shd w:val="clear" w:color="FFFFFF" w:fill="FFFFFF"/>
            <w:noWrap/>
            <w:vAlign w:val="bottom"/>
            <w:hideMark/>
          </w:tcPr>
          <w:p w14:paraId="5FC88364" w14:textId="0E7578AB"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37,263 </w:t>
            </w:r>
          </w:p>
        </w:tc>
      </w:tr>
      <w:tr w:rsidR="00A82A06" w:rsidRPr="001F0712" w14:paraId="62CBC166"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131959C4"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Sc 5</w:t>
            </w:r>
          </w:p>
        </w:tc>
        <w:tc>
          <w:tcPr>
            <w:tcW w:w="1020" w:type="dxa"/>
            <w:tcBorders>
              <w:top w:val="nil"/>
              <w:left w:val="nil"/>
              <w:bottom w:val="single" w:sz="8" w:space="0" w:color="BFBFBF"/>
              <w:right w:val="single" w:sz="8" w:space="0" w:color="BFBFBF"/>
            </w:tcBorders>
            <w:shd w:val="clear" w:color="000000" w:fill="FFFFFF"/>
            <w:noWrap/>
            <w:vAlign w:val="center"/>
            <w:hideMark/>
          </w:tcPr>
          <w:p w14:paraId="4E957371"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15</w:t>
            </w:r>
          </w:p>
        </w:tc>
        <w:tc>
          <w:tcPr>
            <w:tcW w:w="1390" w:type="dxa"/>
            <w:tcBorders>
              <w:top w:val="nil"/>
              <w:left w:val="nil"/>
              <w:bottom w:val="single" w:sz="8" w:space="0" w:color="BFBFBF"/>
              <w:right w:val="single" w:sz="8" w:space="0" w:color="BFBFBF"/>
            </w:tcBorders>
            <w:shd w:val="clear" w:color="000000" w:fill="FFFFFF"/>
            <w:noWrap/>
            <w:vAlign w:val="center"/>
            <w:hideMark/>
          </w:tcPr>
          <w:p w14:paraId="567A9B94" w14:textId="017AB7B8"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29,093 </w:t>
            </w:r>
          </w:p>
        </w:tc>
        <w:tc>
          <w:tcPr>
            <w:tcW w:w="1295" w:type="dxa"/>
            <w:tcBorders>
              <w:top w:val="nil"/>
              <w:left w:val="nil"/>
              <w:bottom w:val="single" w:sz="8" w:space="0" w:color="BFBFBF"/>
              <w:right w:val="single" w:sz="8" w:space="0" w:color="BFBFBF"/>
            </w:tcBorders>
            <w:shd w:val="clear" w:color="FFFFFF" w:fill="FFFFFF"/>
            <w:noWrap/>
            <w:vAlign w:val="bottom"/>
            <w:hideMark/>
          </w:tcPr>
          <w:p w14:paraId="38AF5B53" w14:textId="14A63E51"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3,614 </w:t>
            </w:r>
          </w:p>
        </w:tc>
        <w:tc>
          <w:tcPr>
            <w:tcW w:w="1080" w:type="dxa"/>
            <w:tcBorders>
              <w:top w:val="nil"/>
              <w:left w:val="nil"/>
              <w:bottom w:val="single" w:sz="8" w:space="0" w:color="BFBFBF"/>
              <w:right w:val="single" w:sz="8" w:space="0" w:color="BFBFBF"/>
            </w:tcBorders>
            <w:shd w:val="clear" w:color="FFFFFF" w:fill="FFFFFF"/>
            <w:noWrap/>
            <w:vAlign w:val="bottom"/>
            <w:hideMark/>
          </w:tcPr>
          <w:p w14:paraId="3A4F61D5" w14:textId="52F6B6E7"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5,179 </w:t>
            </w:r>
          </w:p>
        </w:tc>
        <w:tc>
          <w:tcPr>
            <w:tcW w:w="1007" w:type="dxa"/>
            <w:tcBorders>
              <w:top w:val="nil"/>
              <w:left w:val="nil"/>
              <w:bottom w:val="single" w:sz="8" w:space="0" w:color="BFBFBF"/>
              <w:right w:val="single" w:sz="8" w:space="0" w:color="BFBFBF"/>
            </w:tcBorders>
            <w:shd w:val="clear" w:color="FFFFFF" w:fill="FFFFFF"/>
            <w:noWrap/>
            <w:vAlign w:val="bottom"/>
            <w:hideMark/>
          </w:tcPr>
          <w:p w14:paraId="12690AB0" w14:textId="0398D73B"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37,886 </w:t>
            </w:r>
          </w:p>
        </w:tc>
      </w:tr>
      <w:tr w:rsidR="00A82A06" w:rsidRPr="001F0712" w14:paraId="58B442B0"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3DC7607D"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Sc 5</w:t>
            </w:r>
          </w:p>
        </w:tc>
        <w:tc>
          <w:tcPr>
            <w:tcW w:w="1020" w:type="dxa"/>
            <w:tcBorders>
              <w:top w:val="nil"/>
              <w:left w:val="nil"/>
              <w:bottom w:val="single" w:sz="8" w:space="0" w:color="BFBFBF"/>
              <w:right w:val="single" w:sz="8" w:space="0" w:color="BFBFBF"/>
            </w:tcBorders>
            <w:shd w:val="clear" w:color="000000" w:fill="FFFFFF"/>
            <w:noWrap/>
            <w:vAlign w:val="center"/>
            <w:hideMark/>
          </w:tcPr>
          <w:p w14:paraId="24CD6D9C"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16</w:t>
            </w:r>
          </w:p>
        </w:tc>
        <w:tc>
          <w:tcPr>
            <w:tcW w:w="1390" w:type="dxa"/>
            <w:tcBorders>
              <w:top w:val="nil"/>
              <w:left w:val="nil"/>
              <w:bottom w:val="single" w:sz="8" w:space="0" w:color="BFBFBF"/>
              <w:right w:val="single" w:sz="8" w:space="0" w:color="BFBFBF"/>
            </w:tcBorders>
            <w:shd w:val="clear" w:color="000000" w:fill="FFFFFF"/>
            <w:noWrap/>
            <w:vAlign w:val="center"/>
            <w:hideMark/>
          </w:tcPr>
          <w:p w14:paraId="77F2B71C" w14:textId="401A26E0"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29,572 </w:t>
            </w:r>
          </w:p>
        </w:tc>
        <w:tc>
          <w:tcPr>
            <w:tcW w:w="1295" w:type="dxa"/>
            <w:tcBorders>
              <w:top w:val="nil"/>
              <w:left w:val="nil"/>
              <w:bottom w:val="single" w:sz="8" w:space="0" w:color="BFBFBF"/>
              <w:right w:val="single" w:sz="8" w:space="0" w:color="BFBFBF"/>
            </w:tcBorders>
            <w:shd w:val="clear" w:color="FFFFFF" w:fill="FFFFFF"/>
            <w:noWrap/>
            <w:vAlign w:val="bottom"/>
            <w:hideMark/>
          </w:tcPr>
          <w:p w14:paraId="3567AB47" w14:textId="56D87CDF"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3,686 </w:t>
            </w:r>
          </w:p>
        </w:tc>
        <w:tc>
          <w:tcPr>
            <w:tcW w:w="1080" w:type="dxa"/>
            <w:tcBorders>
              <w:top w:val="nil"/>
              <w:left w:val="nil"/>
              <w:bottom w:val="single" w:sz="8" w:space="0" w:color="BFBFBF"/>
              <w:right w:val="single" w:sz="8" w:space="0" w:color="BFBFBF"/>
            </w:tcBorders>
            <w:shd w:val="clear" w:color="FFFFFF" w:fill="FFFFFF"/>
            <w:noWrap/>
            <w:vAlign w:val="bottom"/>
            <w:hideMark/>
          </w:tcPr>
          <w:p w14:paraId="6522913E" w14:textId="67FDE2A2"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5,264 </w:t>
            </w:r>
          </w:p>
        </w:tc>
        <w:tc>
          <w:tcPr>
            <w:tcW w:w="1007" w:type="dxa"/>
            <w:tcBorders>
              <w:top w:val="nil"/>
              <w:left w:val="nil"/>
              <w:bottom w:val="single" w:sz="8" w:space="0" w:color="BFBFBF"/>
              <w:right w:val="single" w:sz="8" w:space="0" w:color="BFBFBF"/>
            </w:tcBorders>
            <w:shd w:val="clear" w:color="FFFFFF" w:fill="FFFFFF"/>
            <w:noWrap/>
            <w:vAlign w:val="bottom"/>
            <w:hideMark/>
          </w:tcPr>
          <w:p w14:paraId="7A2AD82D" w14:textId="2DA1AEB8"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38,522 </w:t>
            </w:r>
          </w:p>
        </w:tc>
      </w:tr>
      <w:tr w:rsidR="00A82A06" w:rsidRPr="001F0712" w14:paraId="709B2B73"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166F3C06"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Sc 5</w:t>
            </w:r>
          </w:p>
        </w:tc>
        <w:tc>
          <w:tcPr>
            <w:tcW w:w="1020" w:type="dxa"/>
            <w:tcBorders>
              <w:top w:val="nil"/>
              <w:left w:val="nil"/>
              <w:bottom w:val="single" w:sz="8" w:space="0" w:color="BFBFBF"/>
              <w:right w:val="single" w:sz="8" w:space="0" w:color="BFBFBF"/>
            </w:tcBorders>
            <w:shd w:val="clear" w:color="000000" w:fill="FFFFFF"/>
            <w:noWrap/>
            <w:vAlign w:val="center"/>
            <w:hideMark/>
          </w:tcPr>
          <w:p w14:paraId="445E5CBD"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17</w:t>
            </w:r>
          </w:p>
        </w:tc>
        <w:tc>
          <w:tcPr>
            <w:tcW w:w="1390" w:type="dxa"/>
            <w:tcBorders>
              <w:top w:val="nil"/>
              <w:left w:val="nil"/>
              <w:bottom w:val="single" w:sz="8" w:space="0" w:color="BFBFBF"/>
              <w:right w:val="single" w:sz="8" w:space="0" w:color="BFBFBF"/>
            </w:tcBorders>
            <w:shd w:val="clear" w:color="000000" w:fill="FFFFFF"/>
            <w:noWrap/>
            <w:vAlign w:val="center"/>
            <w:hideMark/>
          </w:tcPr>
          <w:p w14:paraId="73189F17" w14:textId="598F79FD"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30,060 </w:t>
            </w:r>
          </w:p>
        </w:tc>
        <w:tc>
          <w:tcPr>
            <w:tcW w:w="1295" w:type="dxa"/>
            <w:tcBorders>
              <w:top w:val="nil"/>
              <w:left w:val="nil"/>
              <w:bottom w:val="single" w:sz="8" w:space="0" w:color="BFBFBF"/>
              <w:right w:val="single" w:sz="8" w:space="0" w:color="BFBFBF"/>
            </w:tcBorders>
            <w:shd w:val="clear" w:color="FFFFFF" w:fill="FFFFFF"/>
            <w:noWrap/>
            <w:vAlign w:val="bottom"/>
            <w:hideMark/>
          </w:tcPr>
          <w:p w14:paraId="129C2CCB" w14:textId="5A643789"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3,759 </w:t>
            </w:r>
          </w:p>
        </w:tc>
        <w:tc>
          <w:tcPr>
            <w:tcW w:w="1080" w:type="dxa"/>
            <w:tcBorders>
              <w:top w:val="nil"/>
              <w:left w:val="nil"/>
              <w:bottom w:val="single" w:sz="8" w:space="0" w:color="BFBFBF"/>
              <w:right w:val="single" w:sz="8" w:space="0" w:color="BFBFBF"/>
            </w:tcBorders>
            <w:shd w:val="clear" w:color="FFFFFF" w:fill="FFFFFF"/>
            <w:noWrap/>
            <w:vAlign w:val="bottom"/>
            <w:hideMark/>
          </w:tcPr>
          <w:p w14:paraId="0C6F2FE8" w14:textId="012F913B"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5,351 </w:t>
            </w:r>
          </w:p>
        </w:tc>
        <w:tc>
          <w:tcPr>
            <w:tcW w:w="1007" w:type="dxa"/>
            <w:tcBorders>
              <w:top w:val="nil"/>
              <w:left w:val="nil"/>
              <w:bottom w:val="single" w:sz="8" w:space="0" w:color="BFBFBF"/>
              <w:right w:val="single" w:sz="8" w:space="0" w:color="BFBFBF"/>
            </w:tcBorders>
            <w:shd w:val="clear" w:color="FFFFFF" w:fill="FFFFFF"/>
            <w:noWrap/>
            <w:vAlign w:val="bottom"/>
            <w:hideMark/>
          </w:tcPr>
          <w:p w14:paraId="208D87B0" w14:textId="0E9B02B3"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39,170 </w:t>
            </w:r>
          </w:p>
        </w:tc>
      </w:tr>
      <w:tr w:rsidR="00A82A06" w:rsidRPr="001F0712" w14:paraId="3174724C" w14:textId="77777777" w:rsidTr="00396FAF">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0BDEC3AE" w14:textId="77777777" w:rsidR="00C07CCB" w:rsidRPr="001F0712" w:rsidRDefault="00C07CCB" w:rsidP="00A82A06">
            <w:pPr>
              <w:spacing w:before="120" w:after="120"/>
              <w:contextualSpacing/>
              <w:rPr>
                <w:rFonts w:ascii="Arial" w:hAnsi="Arial" w:cs="Arial"/>
                <w:i/>
                <w:iCs/>
                <w:sz w:val="20"/>
                <w:szCs w:val="20"/>
              </w:rPr>
            </w:pPr>
            <w:r w:rsidRPr="001F0712">
              <w:rPr>
                <w:rFonts w:ascii="Arial" w:hAnsi="Arial" w:cs="Arial"/>
                <w:i/>
                <w:iCs/>
                <w:sz w:val="20"/>
                <w:szCs w:val="20"/>
              </w:rPr>
              <w:t>Not Used</w:t>
            </w:r>
          </w:p>
        </w:tc>
        <w:tc>
          <w:tcPr>
            <w:tcW w:w="1020" w:type="dxa"/>
            <w:tcBorders>
              <w:top w:val="nil"/>
              <w:left w:val="nil"/>
              <w:bottom w:val="single" w:sz="8" w:space="0" w:color="BFBFBF"/>
              <w:right w:val="single" w:sz="8" w:space="0" w:color="BFBFBF"/>
            </w:tcBorders>
            <w:shd w:val="clear" w:color="000000" w:fill="FFFFFF"/>
            <w:noWrap/>
            <w:vAlign w:val="center"/>
            <w:hideMark/>
          </w:tcPr>
          <w:p w14:paraId="7C05A913" w14:textId="77777777" w:rsidR="00C07CCB" w:rsidRPr="001F0712" w:rsidRDefault="00C07CCB" w:rsidP="003C139D">
            <w:pPr>
              <w:spacing w:before="120" w:after="120"/>
              <w:contextualSpacing/>
              <w:jc w:val="center"/>
              <w:rPr>
                <w:rFonts w:ascii="Arial" w:hAnsi="Arial" w:cs="Arial"/>
                <w:b/>
                <w:bCs/>
                <w:i/>
                <w:iCs/>
                <w:color w:val="000000"/>
                <w:sz w:val="20"/>
                <w:szCs w:val="20"/>
              </w:rPr>
            </w:pPr>
            <w:r w:rsidRPr="001F0712">
              <w:rPr>
                <w:rFonts w:ascii="Arial" w:hAnsi="Arial" w:cs="Arial"/>
                <w:b/>
                <w:bCs/>
                <w:i/>
                <w:iCs/>
                <w:color w:val="000000"/>
                <w:sz w:val="20"/>
                <w:szCs w:val="20"/>
              </w:rPr>
              <w:t>18</w:t>
            </w:r>
          </w:p>
        </w:tc>
        <w:tc>
          <w:tcPr>
            <w:tcW w:w="1390" w:type="dxa"/>
            <w:tcBorders>
              <w:top w:val="nil"/>
              <w:left w:val="nil"/>
              <w:bottom w:val="single" w:sz="8" w:space="0" w:color="BFBFBF"/>
              <w:right w:val="single" w:sz="8" w:space="0" w:color="BFBFBF"/>
            </w:tcBorders>
            <w:shd w:val="clear" w:color="000000" w:fill="FFFFFF"/>
            <w:noWrap/>
            <w:vAlign w:val="center"/>
          </w:tcPr>
          <w:p w14:paraId="003426F5" w14:textId="6ED30608" w:rsidR="00C07CCB" w:rsidRPr="001F0712" w:rsidRDefault="00C07CCB" w:rsidP="003C139D">
            <w:pPr>
              <w:spacing w:before="120" w:after="120"/>
              <w:contextualSpacing/>
              <w:jc w:val="center"/>
              <w:rPr>
                <w:rFonts w:ascii="Arial" w:hAnsi="Arial" w:cs="Arial"/>
                <w:i/>
                <w:iCs/>
                <w:color w:val="000000"/>
                <w:sz w:val="20"/>
                <w:szCs w:val="20"/>
              </w:rPr>
            </w:pPr>
          </w:p>
        </w:tc>
        <w:tc>
          <w:tcPr>
            <w:tcW w:w="1295" w:type="dxa"/>
            <w:tcBorders>
              <w:top w:val="nil"/>
              <w:left w:val="nil"/>
              <w:bottom w:val="single" w:sz="8" w:space="0" w:color="BFBFBF"/>
              <w:right w:val="single" w:sz="8" w:space="0" w:color="BFBFBF"/>
            </w:tcBorders>
            <w:shd w:val="clear" w:color="000000" w:fill="FFFFFF"/>
            <w:noWrap/>
            <w:vAlign w:val="center"/>
          </w:tcPr>
          <w:p w14:paraId="6BC72B97" w14:textId="65725926" w:rsidR="00C07CCB" w:rsidRPr="001F0712" w:rsidRDefault="00C07CCB" w:rsidP="003C139D">
            <w:pPr>
              <w:spacing w:before="120" w:after="120"/>
              <w:contextualSpacing/>
              <w:jc w:val="center"/>
              <w:rPr>
                <w:rFonts w:ascii="Arial" w:hAnsi="Arial" w:cs="Arial"/>
                <w:i/>
                <w:iCs/>
                <w:color w:val="000000"/>
                <w:sz w:val="20"/>
                <w:szCs w:val="20"/>
              </w:rPr>
            </w:pPr>
          </w:p>
        </w:tc>
        <w:tc>
          <w:tcPr>
            <w:tcW w:w="1080" w:type="dxa"/>
            <w:tcBorders>
              <w:top w:val="nil"/>
              <w:left w:val="nil"/>
              <w:bottom w:val="single" w:sz="8" w:space="0" w:color="BFBFBF"/>
              <w:right w:val="single" w:sz="8" w:space="0" w:color="BFBFBF"/>
            </w:tcBorders>
            <w:shd w:val="clear" w:color="000000" w:fill="FFFFFF"/>
            <w:noWrap/>
            <w:vAlign w:val="center"/>
          </w:tcPr>
          <w:p w14:paraId="52E02E9A" w14:textId="5715412E" w:rsidR="00C07CCB" w:rsidRPr="001F0712" w:rsidRDefault="00C07CCB" w:rsidP="003C139D">
            <w:pPr>
              <w:spacing w:before="120" w:after="120"/>
              <w:contextualSpacing/>
              <w:jc w:val="center"/>
              <w:rPr>
                <w:rFonts w:ascii="Arial" w:hAnsi="Arial" w:cs="Arial"/>
                <w:i/>
                <w:iCs/>
                <w:color w:val="000000"/>
                <w:sz w:val="20"/>
                <w:szCs w:val="20"/>
              </w:rPr>
            </w:pPr>
          </w:p>
        </w:tc>
        <w:tc>
          <w:tcPr>
            <w:tcW w:w="1007" w:type="dxa"/>
            <w:tcBorders>
              <w:top w:val="nil"/>
              <w:left w:val="nil"/>
              <w:bottom w:val="single" w:sz="8" w:space="0" w:color="BFBFBF"/>
              <w:right w:val="single" w:sz="8" w:space="0" w:color="BFBFBF"/>
            </w:tcBorders>
            <w:shd w:val="clear" w:color="000000" w:fill="FFFFFF"/>
            <w:noWrap/>
            <w:vAlign w:val="center"/>
          </w:tcPr>
          <w:p w14:paraId="7D689DA3" w14:textId="51557924" w:rsidR="00C07CCB" w:rsidRPr="001F0712" w:rsidRDefault="00C07CCB" w:rsidP="003C139D">
            <w:pPr>
              <w:spacing w:before="120" w:after="120"/>
              <w:contextualSpacing/>
              <w:jc w:val="center"/>
              <w:rPr>
                <w:rFonts w:ascii="Arial" w:hAnsi="Arial" w:cs="Arial"/>
                <w:i/>
                <w:iCs/>
                <w:color w:val="000000"/>
                <w:sz w:val="20"/>
                <w:szCs w:val="20"/>
              </w:rPr>
            </w:pPr>
          </w:p>
        </w:tc>
      </w:tr>
      <w:tr w:rsidR="00A82A06" w:rsidRPr="001F0712" w14:paraId="112DA249"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5B519FA8"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Sc 6</w:t>
            </w:r>
          </w:p>
        </w:tc>
        <w:tc>
          <w:tcPr>
            <w:tcW w:w="1020" w:type="dxa"/>
            <w:tcBorders>
              <w:top w:val="nil"/>
              <w:left w:val="nil"/>
              <w:bottom w:val="single" w:sz="8" w:space="0" w:color="BFBFBF"/>
              <w:right w:val="single" w:sz="8" w:space="0" w:color="BFBFBF"/>
            </w:tcBorders>
            <w:shd w:val="clear" w:color="000000" w:fill="FFFFFF"/>
            <w:noWrap/>
            <w:vAlign w:val="center"/>
            <w:hideMark/>
          </w:tcPr>
          <w:p w14:paraId="6566C5E6"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19</w:t>
            </w:r>
          </w:p>
        </w:tc>
        <w:tc>
          <w:tcPr>
            <w:tcW w:w="1390" w:type="dxa"/>
            <w:tcBorders>
              <w:top w:val="nil"/>
              <w:left w:val="nil"/>
              <w:bottom w:val="single" w:sz="8" w:space="0" w:color="BFBFBF"/>
              <w:right w:val="single" w:sz="8" w:space="0" w:color="BFBFBF"/>
            </w:tcBorders>
            <w:shd w:val="clear" w:color="000000" w:fill="FFFFFF"/>
            <w:noWrap/>
            <w:vAlign w:val="center"/>
            <w:hideMark/>
          </w:tcPr>
          <w:p w14:paraId="32C2E88A" w14:textId="0EA0A039"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31,067 </w:t>
            </w:r>
          </w:p>
        </w:tc>
        <w:tc>
          <w:tcPr>
            <w:tcW w:w="1295" w:type="dxa"/>
            <w:tcBorders>
              <w:top w:val="nil"/>
              <w:left w:val="nil"/>
              <w:bottom w:val="single" w:sz="8" w:space="0" w:color="BFBFBF"/>
              <w:right w:val="single" w:sz="8" w:space="0" w:color="BFBFBF"/>
            </w:tcBorders>
            <w:shd w:val="clear" w:color="FFFFFF" w:fill="FFFFFF"/>
            <w:noWrap/>
            <w:vAlign w:val="bottom"/>
            <w:hideMark/>
          </w:tcPr>
          <w:p w14:paraId="7A5FC3C1" w14:textId="2EA74067"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3,910 </w:t>
            </w:r>
          </w:p>
        </w:tc>
        <w:tc>
          <w:tcPr>
            <w:tcW w:w="1080" w:type="dxa"/>
            <w:tcBorders>
              <w:top w:val="nil"/>
              <w:left w:val="nil"/>
              <w:bottom w:val="single" w:sz="8" w:space="0" w:color="BFBFBF"/>
              <w:right w:val="single" w:sz="8" w:space="0" w:color="BFBFBF"/>
            </w:tcBorders>
            <w:shd w:val="clear" w:color="FFFFFF" w:fill="FFFFFF"/>
            <w:noWrap/>
            <w:vAlign w:val="bottom"/>
            <w:hideMark/>
          </w:tcPr>
          <w:p w14:paraId="46E5CA35" w14:textId="2FFC8413"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5,530 </w:t>
            </w:r>
          </w:p>
        </w:tc>
        <w:tc>
          <w:tcPr>
            <w:tcW w:w="1007" w:type="dxa"/>
            <w:tcBorders>
              <w:top w:val="nil"/>
              <w:left w:val="nil"/>
              <w:bottom w:val="single" w:sz="8" w:space="0" w:color="BFBFBF"/>
              <w:right w:val="single" w:sz="8" w:space="0" w:color="BFBFBF"/>
            </w:tcBorders>
            <w:shd w:val="clear" w:color="FFFFFF" w:fill="FFFFFF"/>
            <w:noWrap/>
            <w:vAlign w:val="bottom"/>
            <w:hideMark/>
          </w:tcPr>
          <w:p w14:paraId="788B4045" w14:textId="1C98206E"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40,507 </w:t>
            </w:r>
          </w:p>
        </w:tc>
      </w:tr>
      <w:tr w:rsidR="00A82A06" w:rsidRPr="001F0712" w14:paraId="40BD1365"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1EB790E1"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Sc 6</w:t>
            </w:r>
          </w:p>
        </w:tc>
        <w:tc>
          <w:tcPr>
            <w:tcW w:w="1020" w:type="dxa"/>
            <w:tcBorders>
              <w:top w:val="nil"/>
              <w:left w:val="nil"/>
              <w:bottom w:val="single" w:sz="8" w:space="0" w:color="BFBFBF"/>
              <w:right w:val="single" w:sz="8" w:space="0" w:color="BFBFBF"/>
            </w:tcBorders>
            <w:shd w:val="clear" w:color="000000" w:fill="FFFFFF"/>
            <w:noWrap/>
            <w:vAlign w:val="center"/>
            <w:hideMark/>
          </w:tcPr>
          <w:p w14:paraId="033DD0B9"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20</w:t>
            </w:r>
          </w:p>
        </w:tc>
        <w:tc>
          <w:tcPr>
            <w:tcW w:w="1390" w:type="dxa"/>
            <w:tcBorders>
              <w:top w:val="nil"/>
              <w:left w:val="nil"/>
              <w:bottom w:val="single" w:sz="8" w:space="0" w:color="BFBFBF"/>
              <w:right w:val="single" w:sz="8" w:space="0" w:color="BFBFBF"/>
            </w:tcBorders>
            <w:shd w:val="clear" w:color="000000" w:fill="FFFFFF"/>
            <w:noWrap/>
            <w:vAlign w:val="center"/>
            <w:hideMark/>
          </w:tcPr>
          <w:p w14:paraId="757CF988" w14:textId="09FB113C"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31,586 </w:t>
            </w:r>
          </w:p>
        </w:tc>
        <w:tc>
          <w:tcPr>
            <w:tcW w:w="1295" w:type="dxa"/>
            <w:tcBorders>
              <w:top w:val="nil"/>
              <w:left w:val="nil"/>
              <w:bottom w:val="single" w:sz="8" w:space="0" w:color="BFBFBF"/>
              <w:right w:val="single" w:sz="8" w:space="0" w:color="BFBFBF"/>
            </w:tcBorders>
            <w:shd w:val="clear" w:color="FFFFFF" w:fill="FFFFFF"/>
            <w:noWrap/>
            <w:vAlign w:val="bottom"/>
            <w:hideMark/>
          </w:tcPr>
          <w:p w14:paraId="567DDCAE" w14:textId="43CDB24F"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3,988 </w:t>
            </w:r>
          </w:p>
        </w:tc>
        <w:tc>
          <w:tcPr>
            <w:tcW w:w="1080" w:type="dxa"/>
            <w:tcBorders>
              <w:top w:val="nil"/>
              <w:left w:val="nil"/>
              <w:bottom w:val="single" w:sz="8" w:space="0" w:color="BFBFBF"/>
              <w:right w:val="single" w:sz="8" w:space="0" w:color="BFBFBF"/>
            </w:tcBorders>
            <w:shd w:val="clear" w:color="FFFFFF" w:fill="FFFFFF"/>
            <w:noWrap/>
            <w:vAlign w:val="bottom"/>
            <w:hideMark/>
          </w:tcPr>
          <w:p w14:paraId="3587DCF2" w14:textId="5EAB0F91"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5,622 </w:t>
            </w:r>
          </w:p>
        </w:tc>
        <w:tc>
          <w:tcPr>
            <w:tcW w:w="1007" w:type="dxa"/>
            <w:tcBorders>
              <w:top w:val="nil"/>
              <w:left w:val="nil"/>
              <w:bottom w:val="single" w:sz="8" w:space="0" w:color="BFBFBF"/>
              <w:right w:val="single" w:sz="8" w:space="0" w:color="BFBFBF"/>
            </w:tcBorders>
            <w:shd w:val="clear" w:color="FFFFFF" w:fill="FFFFFF"/>
            <w:noWrap/>
            <w:vAlign w:val="bottom"/>
            <w:hideMark/>
          </w:tcPr>
          <w:p w14:paraId="383412AC" w14:textId="6CFA82CB"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41,196 </w:t>
            </w:r>
          </w:p>
        </w:tc>
      </w:tr>
      <w:tr w:rsidR="00A82A06" w:rsidRPr="001F0712" w14:paraId="454790BF"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309DEB66"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Sc 6</w:t>
            </w:r>
          </w:p>
        </w:tc>
        <w:tc>
          <w:tcPr>
            <w:tcW w:w="1020" w:type="dxa"/>
            <w:tcBorders>
              <w:top w:val="nil"/>
              <w:left w:val="nil"/>
              <w:bottom w:val="single" w:sz="8" w:space="0" w:color="BFBFBF"/>
              <w:right w:val="single" w:sz="8" w:space="0" w:color="BFBFBF"/>
            </w:tcBorders>
            <w:shd w:val="clear" w:color="000000" w:fill="FFFFFF"/>
            <w:noWrap/>
            <w:vAlign w:val="center"/>
            <w:hideMark/>
          </w:tcPr>
          <w:p w14:paraId="355C7C80"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21</w:t>
            </w:r>
          </w:p>
        </w:tc>
        <w:tc>
          <w:tcPr>
            <w:tcW w:w="1390" w:type="dxa"/>
            <w:tcBorders>
              <w:top w:val="nil"/>
              <w:left w:val="nil"/>
              <w:bottom w:val="single" w:sz="8" w:space="0" w:color="BFBFBF"/>
              <w:right w:val="single" w:sz="8" w:space="0" w:color="BFBFBF"/>
            </w:tcBorders>
            <w:shd w:val="clear" w:color="000000" w:fill="FFFFFF"/>
            <w:noWrap/>
            <w:vAlign w:val="center"/>
            <w:hideMark/>
          </w:tcPr>
          <w:p w14:paraId="3821092D" w14:textId="0B08B3D0"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32,115 </w:t>
            </w:r>
          </w:p>
        </w:tc>
        <w:tc>
          <w:tcPr>
            <w:tcW w:w="1295" w:type="dxa"/>
            <w:tcBorders>
              <w:top w:val="nil"/>
              <w:left w:val="nil"/>
              <w:bottom w:val="single" w:sz="8" w:space="0" w:color="BFBFBF"/>
              <w:right w:val="single" w:sz="8" w:space="0" w:color="BFBFBF"/>
            </w:tcBorders>
            <w:shd w:val="clear" w:color="FFFFFF" w:fill="FFFFFF"/>
            <w:noWrap/>
            <w:vAlign w:val="bottom"/>
            <w:hideMark/>
          </w:tcPr>
          <w:p w14:paraId="6669D28B" w14:textId="5AD5C311"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4,067 </w:t>
            </w:r>
          </w:p>
        </w:tc>
        <w:tc>
          <w:tcPr>
            <w:tcW w:w="1080" w:type="dxa"/>
            <w:tcBorders>
              <w:top w:val="nil"/>
              <w:left w:val="nil"/>
              <w:bottom w:val="single" w:sz="8" w:space="0" w:color="BFBFBF"/>
              <w:right w:val="single" w:sz="8" w:space="0" w:color="BFBFBF"/>
            </w:tcBorders>
            <w:shd w:val="clear" w:color="FFFFFF" w:fill="FFFFFF"/>
            <w:noWrap/>
            <w:vAlign w:val="bottom"/>
            <w:hideMark/>
          </w:tcPr>
          <w:p w14:paraId="04BF1E7A" w14:textId="298DDA89"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5,716 </w:t>
            </w:r>
          </w:p>
        </w:tc>
        <w:tc>
          <w:tcPr>
            <w:tcW w:w="1007" w:type="dxa"/>
            <w:tcBorders>
              <w:top w:val="nil"/>
              <w:left w:val="nil"/>
              <w:bottom w:val="single" w:sz="8" w:space="0" w:color="BFBFBF"/>
              <w:right w:val="single" w:sz="8" w:space="0" w:color="BFBFBF"/>
            </w:tcBorders>
            <w:shd w:val="clear" w:color="FFFFFF" w:fill="FFFFFF"/>
            <w:noWrap/>
            <w:vAlign w:val="bottom"/>
            <w:hideMark/>
          </w:tcPr>
          <w:p w14:paraId="3300EB17" w14:textId="1090A059"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41,898 </w:t>
            </w:r>
          </w:p>
        </w:tc>
      </w:tr>
      <w:tr w:rsidR="00A82A06" w:rsidRPr="001F0712" w14:paraId="410834A7"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6588BC7C"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Sc 6</w:t>
            </w:r>
          </w:p>
        </w:tc>
        <w:tc>
          <w:tcPr>
            <w:tcW w:w="1020" w:type="dxa"/>
            <w:tcBorders>
              <w:top w:val="nil"/>
              <w:left w:val="nil"/>
              <w:bottom w:val="single" w:sz="8" w:space="0" w:color="BFBFBF"/>
              <w:right w:val="single" w:sz="8" w:space="0" w:color="BFBFBF"/>
            </w:tcBorders>
            <w:shd w:val="clear" w:color="000000" w:fill="FFFFFF"/>
            <w:noWrap/>
            <w:vAlign w:val="center"/>
            <w:hideMark/>
          </w:tcPr>
          <w:p w14:paraId="49B3DDBA"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22</w:t>
            </w:r>
          </w:p>
        </w:tc>
        <w:tc>
          <w:tcPr>
            <w:tcW w:w="1390" w:type="dxa"/>
            <w:tcBorders>
              <w:top w:val="nil"/>
              <w:left w:val="nil"/>
              <w:bottom w:val="single" w:sz="8" w:space="0" w:color="BFBFBF"/>
              <w:right w:val="single" w:sz="8" w:space="0" w:color="BFBFBF"/>
            </w:tcBorders>
            <w:shd w:val="clear" w:color="000000" w:fill="FFFFFF"/>
            <w:noWrap/>
            <w:vAlign w:val="center"/>
            <w:hideMark/>
          </w:tcPr>
          <w:p w14:paraId="144E0C01" w14:textId="1F9564FF"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32,654 </w:t>
            </w:r>
          </w:p>
        </w:tc>
        <w:tc>
          <w:tcPr>
            <w:tcW w:w="1295" w:type="dxa"/>
            <w:tcBorders>
              <w:top w:val="nil"/>
              <w:left w:val="nil"/>
              <w:bottom w:val="single" w:sz="8" w:space="0" w:color="BFBFBF"/>
              <w:right w:val="single" w:sz="8" w:space="0" w:color="BFBFBF"/>
            </w:tcBorders>
            <w:shd w:val="clear" w:color="FFFFFF" w:fill="FFFFFF"/>
            <w:noWrap/>
            <w:vAlign w:val="bottom"/>
            <w:hideMark/>
          </w:tcPr>
          <w:p w14:paraId="112F3744" w14:textId="0B8F04A0"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4,148 </w:t>
            </w:r>
          </w:p>
        </w:tc>
        <w:tc>
          <w:tcPr>
            <w:tcW w:w="1080" w:type="dxa"/>
            <w:tcBorders>
              <w:top w:val="nil"/>
              <w:left w:val="nil"/>
              <w:bottom w:val="single" w:sz="8" w:space="0" w:color="BFBFBF"/>
              <w:right w:val="single" w:sz="8" w:space="0" w:color="BFBFBF"/>
            </w:tcBorders>
            <w:shd w:val="clear" w:color="FFFFFF" w:fill="FFFFFF"/>
            <w:noWrap/>
            <w:vAlign w:val="bottom"/>
            <w:hideMark/>
          </w:tcPr>
          <w:p w14:paraId="5B67E852" w14:textId="6FDBBBA1"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5,812 </w:t>
            </w:r>
          </w:p>
        </w:tc>
        <w:tc>
          <w:tcPr>
            <w:tcW w:w="1007" w:type="dxa"/>
            <w:tcBorders>
              <w:top w:val="nil"/>
              <w:left w:val="nil"/>
              <w:bottom w:val="single" w:sz="8" w:space="0" w:color="BFBFBF"/>
              <w:right w:val="single" w:sz="8" w:space="0" w:color="BFBFBF"/>
            </w:tcBorders>
            <w:shd w:val="clear" w:color="FFFFFF" w:fill="FFFFFF"/>
            <w:noWrap/>
            <w:vAlign w:val="bottom"/>
            <w:hideMark/>
          </w:tcPr>
          <w:p w14:paraId="3C48699B" w14:textId="7EBBC34B"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42,614 </w:t>
            </w:r>
          </w:p>
        </w:tc>
      </w:tr>
      <w:tr w:rsidR="00A82A06" w:rsidRPr="001F0712" w14:paraId="06035284"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72D8C03C"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SO1</w:t>
            </w:r>
          </w:p>
        </w:tc>
        <w:tc>
          <w:tcPr>
            <w:tcW w:w="1020" w:type="dxa"/>
            <w:tcBorders>
              <w:top w:val="nil"/>
              <w:left w:val="nil"/>
              <w:bottom w:val="single" w:sz="8" w:space="0" w:color="BFBFBF"/>
              <w:right w:val="single" w:sz="8" w:space="0" w:color="BFBFBF"/>
            </w:tcBorders>
            <w:shd w:val="clear" w:color="000000" w:fill="FFFFFF"/>
            <w:noWrap/>
            <w:vAlign w:val="center"/>
            <w:hideMark/>
          </w:tcPr>
          <w:p w14:paraId="0053A846"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23</w:t>
            </w:r>
          </w:p>
        </w:tc>
        <w:tc>
          <w:tcPr>
            <w:tcW w:w="1390" w:type="dxa"/>
            <w:tcBorders>
              <w:top w:val="nil"/>
              <w:left w:val="nil"/>
              <w:bottom w:val="single" w:sz="8" w:space="0" w:color="BFBFBF"/>
              <w:right w:val="single" w:sz="8" w:space="0" w:color="BFBFBF"/>
            </w:tcBorders>
            <w:shd w:val="clear" w:color="000000" w:fill="FFFFFF"/>
            <w:noWrap/>
            <w:vAlign w:val="center"/>
            <w:hideMark/>
          </w:tcPr>
          <w:p w14:paraId="246B3D41" w14:textId="4287C0E0"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33,366 </w:t>
            </w:r>
          </w:p>
        </w:tc>
        <w:tc>
          <w:tcPr>
            <w:tcW w:w="1295" w:type="dxa"/>
            <w:tcBorders>
              <w:top w:val="nil"/>
              <w:left w:val="nil"/>
              <w:bottom w:val="single" w:sz="8" w:space="0" w:color="BFBFBF"/>
              <w:right w:val="single" w:sz="8" w:space="0" w:color="BFBFBF"/>
            </w:tcBorders>
            <w:shd w:val="clear" w:color="FFFFFF" w:fill="FFFFFF"/>
            <w:noWrap/>
            <w:vAlign w:val="bottom"/>
            <w:hideMark/>
          </w:tcPr>
          <w:p w14:paraId="4119A674" w14:textId="02ADE846"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4,255 </w:t>
            </w:r>
          </w:p>
        </w:tc>
        <w:tc>
          <w:tcPr>
            <w:tcW w:w="1080" w:type="dxa"/>
            <w:tcBorders>
              <w:top w:val="nil"/>
              <w:left w:val="nil"/>
              <w:bottom w:val="single" w:sz="8" w:space="0" w:color="BFBFBF"/>
              <w:right w:val="single" w:sz="8" w:space="0" w:color="BFBFBF"/>
            </w:tcBorders>
            <w:shd w:val="clear" w:color="FFFFFF" w:fill="FFFFFF"/>
            <w:noWrap/>
            <w:vAlign w:val="bottom"/>
            <w:hideMark/>
          </w:tcPr>
          <w:p w14:paraId="10138F14" w14:textId="65DC9DB6"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5,939 </w:t>
            </w:r>
          </w:p>
        </w:tc>
        <w:tc>
          <w:tcPr>
            <w:tcW w:w="1007" w:type="dxa"/>
            <w:tcBorders>
              <w:top w:val="nil"/>
              <w:left w:val="nil"/>
              <w:bottom w:val="single" w:sz="8" w:space="0" w:color="BFBFBF"/>
              <w:right w:val="single" w:sz="8" w:space="0" w:color="BFBFBF"/>
            </w:tcBorders>
            <w:shd w:val="clear" w:color="FFFFFF" w:fill="FFFFFF"/>
            <w:noWrap/>
            <w:vAlign w:val="bottom"/>
            <w:hideMark/>
          </w:tcPr>
          <w:p w14:paraId="5964AB0F" w14:textId="503A0FA0"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43,560 </w:t>
            </w:r>
          </w:p>
        </w:tc>
      </w:tr>
      <w:tr w:rsidR="00A82A06" w:rsidRPr="001F0712" w14:paraId="75012390"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4881534A"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SO1</w:t>
            </w:r>
          </w:p>
        </w:tc>
        <w:tc>
          <w:tcPr>
            <w:tcW w:w="1020" w:type="dxa"/>
            <w:tcBorders>
              <w:top w:val="nil"/>
              <w:left w:val="nil"/>
              <w:bottom w:val="single" w:sz="8" w:space="0" w:color="BFBFBF"/>
              <w:right w:val="single" w:sz="8" w:space="0" w:color="BFBFBF"/>
            </w:tcBorders>
            <w:shd w:val="clear" w:color="000000" w:fill="FFFFFF"/>
            <w:noWrap/>
            <w:vAlign w:val="center"/>
            <w:hideMark/>
          </w:tcPr>
          <w:p w14:paraId="246526B6"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24</w:t>
            </w:r>
          </w:p>
        </w:tc>
        <w:tc>
          <w:tcPr>
            <w:tcW w:w="1390" w:type="dxa"/>
            <w:tcBorders>
              <w:top w:val="nil"/>
              <w:left w:val="nil"/>
              <w:bottom w:val="single" w:sz="8" w:space="0" w:color="BFBFBF"/>
              <w:right w:val="single" w:sz="8" w:space="0" w:color="BFBFBF"/>
            </w:tcBorders>
            <w:shd w:val="clear" w:color="000000" w:fill="FFFFFF"/>
            <w:noWrap/>
            <w:vAlign w:val="center"/>
            <w:hideMark/>
          </w:tcPr>
          <w:p w14:paraId="578ACC03" w14:textId="1246C462"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34,314 </w:t>
            </w:r>
          </w:p>
        </w:tc>
        <w:tc>
          <w:tcPr>
            <w:tcW w:w="1295" w:type="dxa"/>
            <w:tcBorders>
              <w:top w:val="nil"/>
              <w:left w:val="nil"/>
              <w:bottom w:val="single" w:sz="8" w:space="0" w:color="BFBFBF"/>
              <w:right w:val="single" w:sz="8" w:space="0" w:color="BFBFBF"/>
            </w:tcBorders>
            <w:shd w:val="clear" w:color="FFFFFF" w:fill="FFFFFF"/>
            <w:noWrap/>
            <w:vAlign w:val="bottom"/>
            <w:hideMark/>
          </w:tcPr>
          <w:p w14:paraId="02C17C44" w14:textId="18F731F5"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4,397 </w:t>
            </w:r>
          </w:p>
        </w:tc>
        <w:tc>
          <w:tcPr>
            <w:tcW w:w="1080" w:type="dxa"/>
            <w:tcBorders>
              <w:top w:val="nil"/>
              <w:left w:val="nil"/>
              <w:bottom w:val="single" w:sz="8" w:space="0" w:color="BFBFBF"/>
              <w:right w:val="single" w:sz="8" w:space="0" w:color="BFBFBF"/>
            </w:tcBorders>
            <w:shd w:val="clear" w:color="FFFFFF" w:fill="FFFFFF"/>
            <w:noWrap/>
            <w:vAlign w:val="bottom"/>
            <w:hideMark/>
          </w:tcPr>
          <w:p w14:paraId="53C8E2C4" w14:textId="3E3A63BC"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6,108 </w:t>
            </w:r>
          </w:p>
        </w:tc>
        <w:tc>
          <w:tcPr>
            <w:tcW w:w="1007" w:type="dxa"/>
            <w:tcBorders>
              <w:top w:val="nil"/>
              <w:left w:val="nil"/>
              <w:bottom w:val="single" w:sz="8" w:space="0" w:color="BFBFBF"/>
              <w:right w:val="single" w:sz="8" w:space="0" w:color="BFBFBF"/>
            </w:tcBorders>
            <w:shd w:val="clear" w:color="FFFFFF" w:fill="FFFFFF"/>
            <w:noWrap/>
            <w:vAlign w:val="bottom"/>
            <w:hideMark/>
          </w:tcPr>
          <w:p w14:paraId="5CB05D88" w14:textId="696DE4BD"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44,819 </w:t>
            </w:r>
          </w:p>
        </w:tc>
      </w:tr>
      <w:tr w:rsidR="00A82A06" w:rsidRPr="001F0712" w14:paraId="096D516F"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47BE4080"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SO1</w:t>
            </w:r>
          </w:p>
        </w:tc>
        <w:tc>
          <w:tcPr>
            <w:tcW w:w="1020" w:type="dxa"/>
            <w:tcBorders>
              <w:top w:val="nil"/>
              <w:left w:val="nil"/>
              <w:bottom w:val="single" w:sz="8" w:space="0" w:color="BFBFBF"/>
              <w:right w:val="single" w:sz="8" w:space="0" w:color="BFBFBF"/>
            </w:tcBorders>
            <w:shd w:val="clear" w:color="000000" w:fill="FFFFFF"/>
            <w:noWrap/>
            <w:vAlign w:val="center"/>
            <w:hideMark/>
          </w:tcPr>
          <w:p w14:paraId="68BD4BA2"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25</w:t>
            </w:r>
          </w:p>
        </w:tc>
        <w:tc>
          <w:tcPr>
            <w:tcW w:w="1390" w:type="dxa"/>
            <w:tcBorders>
              <w:top w:val="nil"/>
              <w:left w:val="nil"/>
              <w:bottom w:val="single" w:sz="8" w:space="0" w:color="BFBFBF"/>
              <w:right w:val="single" w:sz="8" w:space="0" w:color="BFBFBF"/>
            </w:tcBorders>
            <w:shd w:val="clear" w:color="000000" w:fill="FFFFFF"/>
            <w:noWrap/>
            <w:vAlign w:val="center"/>
            <w:hideMark/>
          </w:tcPr>
          <w:p w14:paraId="410B7D96" w14:textId="5932295A"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35,235 </w:t>
            </w:r>
          </w:p>
        </w:tc>
        <w:tc>
          <w:tcPr>
            <w:tcW w:w="1295" w:type="dxa"/>
            <w:tcBorders>
              <w:top w:val="nil"/>
              <w:left w:val="nil"/>
              <w:bottom w:val="single" w:sz="8" w:space="0" w:color="BFBFBF"/>
              <w:right w:val="single" w:sz="8" w:space="0" w:color="BFBFBF"/>
            </w:tcBorders>
            <w:shd w:val="clear" w:color="FFFFFF" w:fill="FFFFFF"/>
            <w:noWrap/>
            <w:vAlign w:val="bottom"/>
            <w:hideMark/>
          </w:tcPr>
          <w:p w14:paraId="70DDC75E" w14:textId="44AC2B53"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4,535 </w:t>
            </w:r>
          </w:p>
        </w:tc>
        <w:tc>
          <w:tcPr>
            <w:tcW w:w="1080" w:type="dxa"/>
            <w:tcBorders>
              <w:top w:val="nil"/>
              <w:left w:val="nil"/>
              <w:bottom w:val="single" w:sz="8" w:space="0" w:color="BFBFBF"/>
              <w:right w:val="single" w:sz="8" w:space="0" w:color="BFBFBF"/>
            </w:tcBorders>
            <w:shd w:val="clear" w:color="FFFFFF" w:fill="FFFFFF"/>
            <w:noWrap/>
            <w:vAlign w:val="bottom"/>
            <w:hideMark/>
          </w:tcPr>
          <w:p w14:paraId="0736663A" w14:textId="2C127183"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6,272 </w:t>
            </w:r>
          </w:p>
        </w:tc>
        <w:tc>
          <w:tcPr>
            <w:tcW w:w="1007" w:type="dxa"/>
            <w:tcBorders>
              <w:top w:val="nil"/>
              <w:left w:val="nil"/>
              <w:bottom w:val="single" w:sz="8" w:space="0" w:color="BFBFBF"/>
              <w:right w:val="single" w:sz="8" w:space="0" w:color="BFBFBF"/>
            </w:tcBorders>
            <w:shd w:val="clear" w:color="FFFFFF" w:fill="FFFFFF"/>
            <w:noWrap/>
            <w:vAlign w:val="bottom"/>
            <w:hideMark/>
          </w:tcPr>
          <w:p w14:paraId="4CFC62F6" w14:textId="582AB135"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46,042 </w:t>
            </w:r>
          </w:p>
        </w:tc>
      </w:tr>
      <w:tr w:rsidR="00A82A06" w:rsidRPr="001F0712" w14:paraId="54A63886"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41D9CF8A"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SO2</w:t>
            </w:r>
          </w:p>
        </w:tc>
        <w:tc>
          <w:tcPr>
            <w:tcW w:w="1020" w:type="dxa"/>
            <w:tcBorders>
              <w:top w:val="nil"/>
              <w:left w:val="nil"/>
              <w:bottom w:val="single" w:sz="8" w:space="0" w:color="BFBFBF"/>
              <w:right w:val="single" w:sz="8" w:space="0" w:color="BFBFBF"/>
            </w:tcBorders>
            <w:shd w:val="clear" w:color="000000" w:fill="FFFFFF"/>
            <w:noWrap/>
            <w:vAlign w:val="center"/>
            <w:hideMark/>
          </w:tcPr>
          <w:p w14:paraId="5BFBAE28"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26</w:t>
            </w:r>
          </w:p>
        </w:tc>
        <w:tc>
          <w:tcPr>
            <w:tcW w:w="1390" w:type="dxa"/>
            <w:tcBorders>
              <w:top w:val="nil"/>
              <w:left w:val="nil"/>
              <w:bottom w:val="single" w:sz="8" w:space="0" w:color="BFBFBF"/>
              <w:right w:val="single" w:sz="8" w:space="0" w:color="BFBFBF"/>
            </w:tcBorders>
            <w:shd w:val="clear" w:color="000000" w:fill="FFFFFF"/>
            <w:noWrap/>
            <w:vAlign w:val="center"/>
            <w:hideMark/>
          </w:tcPr>
          <w:p w14:paraId="61552A3E" w14:textId="0332130D"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36,124 </w:t>
            </w:r>
          </w:p>
        </w:tc>
        <w:tc>
          <w:tcPr>
            <w:tcW w:w="1295" w:type="dxa"/>
            <w:tcBorders>
              <w:top w:val="nil"/>
              <w:left w:val="nil"/>
              <w:bottom w:val="single" w:sz="8" w:space="0" w:color="BFBFBF"/>
              <w:right w:val="single" w:sz="8" w:space="0" w:color="BFBFBF"/>
            </w:tcBorders>
            <w:shd w:val="clear" w:color="FFFFFF" w:fill="FFFFFF"/>
            <w:noWrap/>
            <w:vAlign w:val="bottom"/>
            <w:hideMark/>
          </w:tcPr>
          <w:p w14:paraId="1B427414" w14:textId="749FE128"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4,669 </w:t>
            </w:r>
          </w:p>
        </w:tc>
        <w:tc>
          <w:tcPr>
            <w:tcW w:w="1080" w:type="dxa"/>
            <w:tcBorders>
              <w:top w:val="nil"/>
              <w:left w:val="nil"/>
              <w:bottom w:val="single" w:sz="8" w:space="0" w:color="BFBFBF"/>
              <w:right w:val="single" w:sz="8" w:space="0" w:color="BFBFBF"/>
            </w:tcBorders>
            <w:shd w:val="clear" w:color="FFFFFF" w:fill="FFFFFF"/>
            <w:noWrap/>
            <w:vAlign w:val="bottom"/>
            <w:hideMark/>
          </w:tcPr>
          <w:p w14:paraId="5F6BD7CA" w14:textId="6C3285BA"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6,430 </w:t>
            </w:r>
          </w:p>
        </w:tc>
        <w:tc>
          <w:tcPr>
            <w:tcW w:w="1007" w:type="dxa"/>
            <w:tcBorders>
              <w:top w:val="nil"/>
              <w:left w:val="nil"/>
              <w:bottom w:val="single" w:sz="8" w:space="0" w:color="BFBFBF"/>
              <w:right w:val="single" w:sz="8" w:space="0" w:color="BFBFBF"/>
            </w:tcBorders>
            <w:shd w:val="clear" w:color="FFFFFF" w:fill="FFFFFF"/>
            <w:noWrap/>
            <w:vAlign w:val="bottom"/>
            <w:hideMark/>
          </w:tcPr>
          <w:p w14:paraId="474246E2" w14:textId="4739B841"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47,223 </w:t>
            </w:r>
          </w:p>
        </w:tc>
      </w:tr>
      <w:tr w:rsidR="00A82A06" w:rsidRPr="001F0712" w14:paraId="59F62E1B"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07D34027"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SO2 and POD</w:t>
            </w:r>
          </w:p>
        </w:tc>
        <w:tc>
          <w:tcPr>
            <w:tcW w:w="1020" w:type="dxa"/>
            <w:tcBorders>
              <w:top w:val="nil"/>
              <w:left w:val="nil"/>
              <w:bottom w:val="single" w:sz="8" w:space="0" w:color="BFBFBF"/>
              <w:right w:val="single" w:sz="8" w:space="0" w:color="BFBFBF"/>
            </w:tcBorders>
            <w:shd w:val="clear" w:color="000000" w:fill="FFFFFF"/>
            <w:noWrap/>
            <w:vAlign w:val="center"/>
            <w:hideMark/>
          </w:tcPr>
          <w:p w14:paraId="4E50D8FB" w14:textId="77777777" w:rsidR="00C07CCB" w:rsidRPr="001F0712" w:rsidRDefault="00C07CCB" w:rsidP="003C139D">
            <w:pPr>
              <w:spacing w:before="120" w:after="120"/>
              <w:contextualSpacing/>
              <w:jc w:val="center"/>
              <w:rPr>
                <w:rFonts w:ascii="Arial" w:hAnsi="Arial" w:cs="Arial"/>
                <w:b/>
                <w:bCs/>
                <w:sz w:val="20"/>
                <w:szCs w:val="20"/>
              </w:rPr>
            </w:pPr>
            <w:r w:rsidRPr="001F0712">
              <w:rPr>
                <w:rFonts w:ascii="Arial" w:hAnsi="Arial" w:cs="Arial"/>
                <w:b/>
                <w:bCs/>
                <w:sz w:val="20"/>
                <w:szCs w:val="20"/>
              </w:rPr>
              <w:t>27</w:t>
            </w:r>
          </w:p>
        </w:tc>
        <w:tc>
          <w:tcPr>
            <w:tcW w:w="1390" w:type="dxa"/>
            <w:tcBorders>
              <w:top w:val="nil"/>
              <w:left w:val="nil"/>
              <w:bottom w:val="single" w:sz="8" w:space="0" w:color="BFBFBF"/>
              <w:right w:val="single" w:sz="8" w:space="0" w:color="BFBFBF"/>
            </w:tcBorders>
            <w:shd w:val="clear" w:color="000000" w:fill="FFFFFF"/>
            <w:noWrap/>
            <w:vAlign w:val="center"/>
            <w:hideMark/>
          </w:tcPr>
          <w:p w14:paraId="0EA0F399" w14:textId="4237BCA7"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37,035 </w:t>
            </w:r>
          </w:p>
        </w:tc>
        <w:tc>
          <w:tcPr>
            <w:tcW w:w="1295" w:type="dxa"/>
            <w:tcBorders>
              <w:top w:val="nil"/>
              <w:left w:val="nil"/>
              <w:bottom w:val="single" w:sz="8" w:space="0" w:color="BFBFBF"/>
              <w:right w:val="single" w:sz="8" w:space="0" w:color="BFBFBF"/>
            </w:tcBorders>
            <w:shd w:val="clear" w:color="FFFFFF" w:fill="FFFFFF"/>
            <w:noWrap/>
            <w:vAlign w:val="bottom"/>
            <w:hideMark/>
          </w:tcPr>
          <w:p w14:paraId="4FADE2F6" w14:textId="26C8F7D0"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4,805 </w:t>
            </w:r>
          </w:p>
        </w:tc>
        <w:tc>
          <w:tcPr>
            <w:tcW w:w="1080" w:type="dxa"/>
            <w:tcBorders>
              <w:top w:val="nil"/>
              <w:left w:val="nil"/>
              <w:bottom w:val="single" w:sz="8" w:space="0" w:color="BFBFBF"/>
              <w:right w:val="single" w:sz="8" w:space="0" w:color="BFBFBF"/>
            </w:tcBorders>
            <w:shd w:val="clear" w:color="FFFFFF" w:fill="FFFFFF"/>
            <w:noWrap/>
            <w:vAlign w:val="bottom"/>
            <w:hideMark/>
          </w:tcPr>
          <w:p w14:paraId="5CE8E1EA" w14:textId="1F509566"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6,592 </w:t>
            </w:r>
          </w:p>
        </w:tc>
        <w:tc>
          <w:tcPr>
            <w:tcW w:w="1007" w:type="dxa"/>
            <w:tcBorders>
              <w:top w:val="nil"/>
              <w:left w:val="nil"/>
              <w:bottom w:val="single" w:sz="8" w:space="0" w:color="BFBFBF"/>
              <w:right w:val="single" w:sz="8" w:space="0" w:color="BFBFBF"/>
            </w:tcBorders>
            <w:shd w:val="clear" w:color="FFFFFF" w:fill="FFFFFF"/>
            <w:noWrap/>
            <w:vAlign w:val="bottom"/>
            <w:hideMark/>
          </w:tcPr>
          <w:p w14:paraId="6D2FB315" w14:textId="5B73451E"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48,432 </w:t>
            </w:r>
          </w:p>
        </w:tc>
      </w:tr>
      <w:tr w:rsidR="00A82A06" w:rsidRPr="001F0712" w14:paraId="36821192"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545396DA"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SO2 and POD</w:t>
            </w:r>
          </w:p>
        </w:tc>
        <w:tc>
          <w:tcPr>
            <w:tcW w:w="1020" w:type="dxa"/>
            <w:tcBorders>
              <w:top w:val="nil"/>
              <w:left w:val="nil"/>
              <w:bottom w:val="single" w:sz="8" w:space="0" w:color="BFBFBF"/>
              <w:right w:val="single" w:sz="8" w:space="0" w:color="BFBFBF"/>
            </w:tcBorders>
            <w:shd w:val="clear" w:color="000000" w:fill="FFFFFF"/>
            <w:noWrap/>
            <w:vAlign w:val="center"/>
            <w:hideMark/>
          </w:tcPr>
          <w:p w14:paraId="25CF0941" w14:textId="77777777" w:rsidR="00C07CCB" w:rsidRPr="001F0712" w:rsidRDefault="00C07CCB" w:rsidP="003C139D">
            <w:pPr>
              <w:spacing w:before="120" w:after="120"/>
              <w:contextualSpacing/>
              <w:jc w:val="center"/>
              <w:rPr>
                <w:rFonts w:ascii="Arial" w:hAnsi="Arial" w:cs="Arial"/>
                <w:b/>
                <w:bCs/>
                <w:sz w:val="20"/>
                <w:szCs w:val="20"/>
              </w:rPr>
            </w:pPr>
            <w:r w:rsidRPr="001F0712">
              <w:rPr>
                <w:rFonts w:ascii="Arial" w:hAnsi="Arial" w:cs="Arial"/>
                <w:b/>
                <w:bCs/>
                <w:sz w:val="20"/>
                <w:szCs w:val="20"/>
              </w:rPr>
              <w:t>28</w:t>
            </w:r>
          </w:p>
        </w:tc>
        <w:tc>
          <w:tcPr>
            <w:tcW w:w="1390" w:type="dxa"/>
            <w:tcBorders>
              <w:top w:val="nil"/>
              <w:left w:val="nil"/>
              <w:bottom w:val="single" w:sz="8" w:space="0" w:color="BFBFBF"/>
              <w:right w:val="single" w:sz="8" w:space="0" w:color="BFBFBF"/>
            </w:tcBorders>
            <w:shd w:val="clear" w:color="000000" w:fill="FFFFFF"/>
            <w:noWrap/>
            <w:vAlign w:val="center"/>
            <w:hideMark/>
          </w:tcPr>
          <w:p w14:paraId="12A2D736" w14:textId="7D4FB8CD"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37,938 </w:t>
            </w:r>
          </w:p>
        </w:tc>
        <w:tc>
          <w:tcPr>
            <w:tcW w:w="1295" w:type="dxa"/>
            <w:tcBorders>
              <w:top w:val="nil"/>
              <w:left w:val="nil"/>
              <w:bottom w:val="single" w:sz="8" w:space="0" w:color="BFBFBF"/>
              <w:right w:val="single" w:sz="8" w:space="0" w:color="BFBFBF"/>
            </w:tcBorders>
            <w:shd w:val="clear" w:color="FFFFFF" w:fill="FFFFFF"/>
            <w:noWrap/>
            <w:vAlign w:val="bottom"/>
            <w:hideMark/>
          </w:tcPr>
          <w:p w14:paraId="0C26E8DE" w14:textId="28BAE27D"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4,941 </w:t>
            </w:r>
          </w:p>
        </w:tc>
        <w:tc>
          <w:tcPr>
            <w:tcW w:w="1080" w:type="dxa"/>
            <w:tcBorders>
              <w:top w:val="nil"/>
              <w:left w:val="nil"/>
              <w:bottom w:val="single" w:sz="8" w:space="0" w:color="BFBFBF"/>
              <w:right w:val="single" w:sz="8" w:space="0" w:color="BFBFBF"/>
            </w:tcBorders>
            <w:shd w:val="clear" w:color="FFFFFF" w:fill="FFFFFF"/>
            <w:noWrap/>
            <w:vAlign w:val="bottom"/>
            <w:hideMark/>
          </w:tcPr>
          <w:p w14:paraId="4BC0539B" w14:textId="48D0ADB3"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6,753 </w:t>
            </w:r>
          </w:p>
        </w:tc>
        <w:tc>
          <w:tcPr>
            <w:tcW w:w="1007" w:type="dxa"/>
            <w:tcBorders>
              <w:top w:val="nil"/>
              <w:left w:val="nil"/>
              <w:bottom w:val="single" w:sz="8" w:space="0" w:color="BFBFBF"/>
              <w:right w:val="single" w:sz="8" w:space="0" w:color="BFBFBF"/>
            </w:tcBorders>
            <w:shd w:val="clear" w:color="FFFFFF" w:fill="FFFFFF"/>
            <w:noWrap/>
            <w:vAlign w:val="bottom"/>
            <w:hideMark/>
          </w:tcPr>
          <w:p w14:paraId="2C543BAC" w14:textId="0B2BDFEC"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49,632 </w:t>
            </w:r>
          </w:p>
        </w:tc>
      </w:tr>
      <w:tr w:rsidR="00A82A06" w:rsidRPr="001F0712" w14:paraId="23F2B9CD"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36E8F0F2"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POD and POE</w:t>
            </w:r>
          </w:p>
        </w:tc>
        <w:tc>
          <w:tcPr>
            <w:tcW w:w="1020" w:type="dxa"/>
            <w:tcBorders>
              <w:top w:val="nil"/>
              <w:left w:val="nil"/>
              <w:bottom w:val="single" w:sz="8" w:space="0" w:color="BFBFBF"/>
              <w:right w:val="single" w:sz="8" w:space="0" w:color="BFBFBF"/>
            </w:tcBorders>
            <w:shd w:val="clear" w:color="000000" w:fill="FFFFFF"/>
            <w:noWrap/>
            <w:vAlign w:val="center"/>
            <w:hideMark/>
          </w:tcPr>
          <w:p w14:paraId="217044C4"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29</w:t>
            </w:r>
          </w:p>
        </w:tc>
        <w:tc>
          <w:tcPr>
            <w:tcW w:w="1390" w:type="dxa"/>
            <w:tcBorders>
              <w:top w:val="nil"/>
              <w:left w:val="nil"/>
              <w:bottom w:val="single" w:sz="8" w:space="0" w:color="BFBFBF"/>
              <w:right w:val="single" w:sz="8" w:space="0" w:color="BFBFBF"/>
            </w:tcBorders>
            <w:shd w:val="clear" w:color="000000" w:fill="FFFFFF"/>
            <w:noWrap/>
            <w:vAlign w:val="center"/>
            <w:hideMark/>
          </w:tcPr>
          <w:p w14:paraId="6B0AC64D" w14:textId="7EF30124"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38,626 </w:t>
            </w:r>
          </w:p>
        </w:tc>
        <w:tc>
          <w:tcPr>
            <w:tcW w:w="1295" w:type="dxa"/>
            <w:tcBorders>
              <w:top w:val="nil"/>
              <w:left w:val="nil"/>
              <w:bottom w:val="single" w:sz="8" w:space="0" w:color="BFBFBF"/>
              <w:right w:val="single" w:sz="8" w:space="0" w:color="BFBFBF"/>
            </w:tcBorders>
            <w:shd w:val="clear" w:color="FFFFFF" w:fill="FFFFFF"/>
            <w:noWrap/>
            <w:vAlign w:val="bottom"/>
            <w:hideMark/>
          </w:tcPr>
          <w:p w14:paraId="17667388" w14:textId="3C9E416F"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5,044 </w:t>
            </w:r>
          </w:p>
        </w:tc>
        <w:tc>
          <w:tcPr>
            <w:tcW w:w="1080" w:type="dxa"/>
            <w:tcBorders>
              <w:top w:val="nil"/>
              <w:left w:val="nil"/>
              <w:bottom w:val="single" w:sz="8" w:space="0" w:color="BFBFBF"/>
              <w:right w:val="single" w:sz="8" w:space="0" w:color="BFBFBF"/>
            </w:tcBorders>
            <w:shd w:val="clear" w:color="FFFFFF" w:fill="FFFFFF"/>
            <w:noWrap/>
            <w:vAlign w:val="bottom"/>
            <w:hideMark/>
          </w:tcPr>
          <w:p w14:paraId="506AF01D" w14:textId="7D606BAD"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6,875 </w:t>
            </w:r>
          </w:p>
        </w:tc>
        <w:tc>
          <w:tcPr>
            <w:tcW w:w="1007" w:type="dxa"/>
            <w:tcBorders>
              <w:top w:val="nil"/>
              <w:left w:val="nil"/>
              <w:bottom w:val="single" w:sz="8" w:space="0" w:color="BFBFBF"/>
              <w:right w:val="single" w:sz="8" w:space="0" w:color="BFBFBF"/>
            </w:tcBorders>
            <w:shd w:val="clear" w:color="FFFFFF" w:fill="FFFFFF"/>
            <w:noWrap/>
            <w:vAlign w:val="bottom"/>
            <w:hideMark/>
          </w:tcPr>
          <w:p w14:paraId="318A5BDB" w14:textId="2520E6CE"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50,545 </w:t>
            </w:r>
          </w:p>
        </w:tc>
      </w:tr>
      <w:tr w:rsidR="00A82A06" w:rsidRPr="001F0712" w14:paraId="532AD426"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31CEADC3"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POD and POE</w:t>
            </w:r>
          </w:p>
        </w:tc>
        <w:tc>
          <w:tcPr>
            <w:tcW w:w="1020" w:type="dxa"/>
            <w:tcBorders>
              <w:top w:val="nil"/>
              <w:left w:val="nil"/>
              <w:bottom w:val="single" w:sz="8" w:space="0" w:color="BFBFBF"/>
              <w:right w:val="single" w:sz="8" w:space="0" w:color="BFBFBF"/>
            </w:tcBorders>
            <w:shd w:val="clear" w:color="000000" w:fill="FFFFFF"/>
            <w:noWrap/>
            <w:vAlign w:val="center"/>
            <w:hideMark/>
          </w:tcPr>
          <w:p w14:paraId="60ECE5D5"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30</w:t>
            </w:r>
          </w:p>
        </w:tc>
        <w:tc>
          <w:tcPr>
            <w:tcW w:w="1390" w:type="dxa"/>
            <w:tcBorders>
              <w:top w:val="nil"/>
              <w:left w:val="nil"/>
              <w:bottom w:val="single" w:sz="8" w:space="0" w:color="BFBFBF"/>
              <w:right w:val="single" w:sz="8" w:space="0" w:color="BFBFBF"/>
            </w:tcBorders>
            <w:shd w:val="clear" w:color="000000" w:fill="FFFFFF"/>
            <w:noWrap/>
            <w:vAlign w:val="center"/>
            <w:hideMark/>
          </w:tcPr>
          <w:p w14:paraId="7B3A0DF8" w14:textId="7F4D15E6"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39,513 </w:t>
            </w:r>
          </w:p>
        </w:tc>
        <w:tc>
          <w:tcPr>
            <w:tcW w:w="1295" w:type="dxa"/>
            <w:tcBorders>
              <w:top w:val="nil"/>
              <w:left w:val="nil"/>
              <w:bottom w:val="single" w:sz="8" w:space="0" w:color="BFBFBF"/>
              <w:right w:val="single" w:sz="8" w:space="0" w:color="BFBFBF"/>
            </w:tcBorders>
            <w:shd w:val="clear" w:color="FFFFFF" w:fill="FFFFFF"/>
            <w:noWrap/>
            <w:vAlign w:val="bottom"/>
            <w:hideMark/>
          </w:tcPr>
          <w:p w14:paraId="7D36CB04" w14:textId="501AA50A"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5,177 </w:t>
            </w:r>
          </w:p>
        </w:tc>
        <w:tc>
          <w:tcPr>
            <w:tcW w:w="1080" w:type="dxa"/>
            <w:tcBorders>
              <w:top w:val="nil"/>
              <w:left w:val="nil"/>
              <w:bottom w:val="single" w:sz="8" w:space="0" w:color="BFBFBF"/>
              <w:right w:val="single" w:sz="8" w:space="0" w:color="BFBFBF"/>
            </w:tcBorders>
            <w:shd w:val="clear" w:color="FFFFFF" w:fill="FFFFFF"/>
            <w:noWrap/>
            <w:vAlign w:val="bottom"/>
            <w:hideMark/>
          </w:tcPr>
          <w:p w14:paraId="3A175642" w14:textId="77F2EAA6"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7,033 </w:t>
            </w:r>
          </w:p>
        </w:tc>
        <w:tc>
          <w:tcPr>
            <w:tcW w:w="1007" w:type="dxa"/>
            <w:tcBorders>
              <w:top w:val="nil"/>
              <w:left w:val="nil"/>
              <w:bottom w:val="single" w:sz="8" w:space="0" w:color="BFBFBF"/>
              <w:right w:val="single" w:sz="8" w:space="0" w:color="BFBFBF"/>
            </w:tcBorders>
            <w:shd w:val="clear" w:color="FFFFFF" w:fill="FFFFFF"/>
            <w:noWrap/>
            <w:vAlign w:val="bottom"/>
            <w:hideMark/>
          </w:tcPr>
          <w:p w14:paraId="2C54FAEB" w14:textId="72ABBDAA"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51,723 </w:t>
            </w:r>
          </w:p>
        </w:tc>
      </w:tr>
      <w:tr w:rsidR="00A82A06" w:rsidRPr="001F0712" w14:paraId="3A43B54B"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2D199A49"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POE</w:t>
            </w:r>
          </w:p>
        </w:tc>
        <w:tc>
          <w:tcPr>
            <w:tcW w:w="1020" w:type="dxa"/>
            <w:tcBorders>
              <w:top w:val="nil"/>
              <w:left w:val="nil"/>
              <w:bottom w:val="single" w:sz="8" w:space="0" w:color="BFBFBF"/>
              <w:right w:val="single" w:sz="8" w:space="0" w:color="BFBFBF"/>
            </w:tcBorders>
            <w:shd w:val="clear" w:color="000000" w:fill="FFFFFF"/>
            <w:noWrap/>
            <w:vAlign w:val="center"/>
            <w:hideMark/>
          </w:tcPr>
          <w:p w14:paraId="4A40AC40"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31</w:t>
            </w:r>
          </w:p>
        </w:tc>
        <w:tc>
          <w:tcPr>
            <w:tcW w:w="1390" w:type="dxa"/>
            <w:tcBorders>
              <w:top w:val="nil"/>
              <w:left w:val="nil"/>
              <w:bottom w:val="single" w:sz="8" w:space="0" w:color="BFBFBF"/>
              <w:right w:val="single" w:sz="8" w:space="0" w:color="BFBFBF"/>
            </w:tcBorders>
            <w:shd w:val="clear" w:color="000000" w:fill="FFFFFF"/>
            <w:noWrap/>
            <w:vAlign w:val="center"/>
            <w:hideMark/>
          </w:tcPr>
          <w:p w14:paraId="2E1CE2E6" w14:textId="0F12B10D"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40,476 </w:t>
            </w:r>
          </w:p>
        </w:tc>
        <w:tc>
          <w:tcPr>
            <w:tcW w:w="1295" w:type="dxa"/>
            <w:tcBorders>
              <w:top w:val="nil"/>
              <w:left w:val="nil"/>
              <w:bottom w:val="single" w:sz="8" w:space="0" w:color="BFBFBF"/>
              <w:right w:val="single" w:sz="8" w:space="0" w:color="BFBFBF"/>
            </w:tcBorders>
            <w:shd w:val="clear" w:color="FFFFFF" w:fill="FFFFFF"/>
            <w:noWrap/>
            <w:vAlign w:val="bottom"/>
            <w:hideMark/>
          </w:tcPr>
          <w:p w14:paraId="25396E9E" w14:textId="465429DC"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5,322 </w:t>
            </w:r>
          </w:p>
        </w:tc>
        <w:tc>
          <w:tcPr>
            <w:tcW w:w="1080" w:type="dxa"/>
            <w:tcBorders>
              <w:top w:val="nil"/>
              <w:left w:val="nil"/>
              <w:bottom w:val="single" w:sz="8" w:space="0" w:color="BFBFBF"/>
              <w:right w:val="single" w:sz="8" w:space="0" w:color="BFBFBF"/>
            </w:tcBorders>
            <w:shd w:val="clear" w:color="FFFFFF" w:fill="FFFFFF"/>
            <w:noWrap/>
            <w:vAlign w:val="bottom"/>
            <w:hideMark/>
          </w:tcPr>
          <w:p w14:paraId="27556DCE" w14:textId="56ACF7EB"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7,205 </w:t>
            </w:r>
          </w:p>
        </w:tc>
        <w:tc>
          <w:tcPr>
            <w:tcW w:w="1007" w:type="dxa"/>
            <w:tcBorders>
              <w:top w:val="nil"/>
              <w:left w:val="nil"/>
              <w:bottom w:val="single" w:sz="8" w:space="0" w:color="BFBFBF"/>
              <w:right w:val="single" w:sz="8" w:space="0" w:color="BFBFBF"/>
            </w:tcBorders>
            <w:shd w:val="clear" w:color="FFFFFF" w:fill="FFFFFF"/>
            <w:noWrap/>
            <w:vAlign w:val="bottom"/>
            <w:hideMark/>
          </w:tcPr>
          <w:p w14:paraId="1362397A" w14:textId="266374C8"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53,003 </w:t>
            </w:r>
          </w:p>
        </w:tc>
      </w:tr>
      <w:tr w:rsidR="00A82A06" w:rsidRPr="001F0712" w14:paraId="2EB9299A"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528ECC05"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POE and POF</w:t>
            </w:r>
          </w:p>
        </w:tc>
        <w:tc>
          <w:tcPr>
            <w:tcW w:w="1020" w:type="dxa"/>
            <w:tcBorders>
              <w:top w:val="nil"/>
              <w:left w:val="nil"/>
              <w:bottom w:val="single" w:sz="8" w:space="0" w:color="BFBFBF"/>
              <w:right w:val="single" w:sz="8" w:space="0" w:color="BFBFBF"/>
            </w:tcBorders>
            <w:shd w:val="clear" w:color="000000" w:fill="FFFFFF"/>
            <w:noWrap/>
            <w:vAlign w:val="center"/>
            <w:hideMark/>
          </w:tcPr>
          <w:p w14:paraId="4B35CA7C"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32</w:t>
            </w:r>
          </w:p>
        </w:tc>
        <w:tc>
          <w:tcPr>
            <w:tcW w:w="1390" w:type="dxa"/>
            <w:tcBorders>
              <w:top w:val="nil"/>
              <w:left w:val="nil"/>
              <w:bottom w:val="single" w:sz="8" w:space="0" w:color="BFBFBF"/>
              <w:right w:val="single" w:sz="8" w:space="0" w:color="BFBFBF"/>
            </w:tcBorders>
            <w:shd w:val="clear" w:color="000000" w:fill="FFFFFF"/>
            <w:noWrap/>
            <w:vAlign w:val="center"/>
            <w:hideMark/>
          </w:tcPr>
          <w:p w14:paraId="69A5DBC0" w14:textId="4D6D5CD0"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41,511 </w:t>
            </w:r>
          </w:p>
        </w:tc>
        <w:tc>
          <w:tcPr>
            <w:tcW w:w="1295" w:type="dxa"/>
            <w:tcBorders>
              <w:top w:val="nil"/>
              <w:left w:val="nil"/>
              <w:bottom w:val="single" w:sz="8" w:space="0" w:color="BFBFBF"/>
              <w:right w:val="single" w:sz="8" w:space="0" w:color="BFBFBF"/>
            </w:tcBorders>
            <w:shd w:val="clear" w:color="FFFFFF" w:fill="FFFFFF"/>
            <w:noWrap/>
            <w:vAlign w:val="bottom"/>
            <w:hideMark/>
          </w:tcPr>
          <w:p w14:paraId="1AEC3363" w14:textId="2413E9EA"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5,477 </w:t>
            </w:r>
          </w:p>
        </w:tc>
        <w:tc>
          <w:tcPr>
            <w:tcW w:w="1080" w:type="dxa"/>
            <w:tcBorders>
              <w:top w:val="nil"/>
              <w:left w:val="nil"/>
              <w:bottom w:val="single" w:sz="8" w:space="0" w:color="BFBFBF"/>
              <w:right w:val="single" w:sz="8" w:space="0" w:color="BFBFBF"/>
            </w:tcBorders>
            <w:shd w:val="clear" w:color="FFFFFF" w:fill="FFFFFF"/>
            <w:noWrap/>
            <w:vAlign w:val="bottom"/>
            <w:hideMark/>
          </w:tcPr>
          <w:p w14:paraId="727C203F" w14:textId="7AC6F987"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7,389 </w:t>
            </w:r>
          </w:p>
        </w:tc>
        <w:tc>
          <w:tcPr>
            <w:tcW w:w="1007" w:type="dxa"/>
            <w:tcBorders>
              <w:top w:val="nil"/>
              <w:left w:val="nil"/>
              <w:bottom w:val="single" w:sz="8" w:space="0" w:color="BFBFBF"/>
              <w:right w:val="single" w:sz="8" w:space="0" w:color="BFBFBF"/>
            </w:tcBorders>
            <w:shd w:val="clear" w:color="FFFFFF" w:fill="FFFFFF"/>
            <w:noWrap/>
            <w:vAlign w:val="bottom"/>
            <w:hideMark/>
          </w:tcPr>
          <w:p w14:paraId="1EEE1570" w14:textId="63279EBF"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54,377 </w:t>
            </w:r>
          </w:p>
        </w:tc>
      </w:tr>
      <w:tr w:rsidR="00A82A06" w:rsidRPr="001F0712" w14:paraId="4A49A929"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107DD077"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POF</w:t>
            </w:r>
          </w:p>
        </w:tc>
        <w:tc>
          <w:tcPr>
            <w:tcW w:w="1020" w:type="dxa"/>
            <w:tcBorders>
              <w:top w:val="nil"/>
              <w:left w:val="nil"/>
              <w:bottom w:val="single" w:sz="8" w:space="0" w:color="BFBFBF"/>
              <w:right w:val="single" w:sz="8" w:space="0" w:color="BFBFBF"/>
            </w:tcBorders>
            <w:shd w:val="clear" w:color="000000" w:fill="FFFFFF"/>
            <w:noWrap/>
            <w:vAlign w:val="center"/>
            <w:hideMark/>
          </w:tcPr>
          <w:p w14:paraId="45B31EB3"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33</w:t>
            </w:r>
          </w:p>
        </w:tc>
        <w:tc>
          <w:tcPr>
            <w:tcW w:w="1390" w:type="dxa"/>
            <w:tcBorders>
              <w:top w:val="nil"/>
              <w:left w:val="nil"/>
              <w:bottom w:val="single" w:sz="8" w:space="0" w:color="BFBFBF"/>
              <w:right w:val="single" w:sz="8" w:space="0" w:color="BFBFBF"/>
            </w:tcBorders>
            <w:shd w:val="clear" w:color="000000" w:fill="FFFFFF"/>
            <w:noWrap/>
            <w:vAlign w:val="center"/>
            <w:hideMark/>
          </w:tcPr>
          <w:p w14:paraId="03AD9F15" w14:textId="2CB5C435"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42,708 </w:t>
            </w:r>
          </w:p>
        </w:tc>
        <w:tc>
          <w:tcPr>
            <w:tcW w:w="1295" w:type="dxa"/>
            <w:tcBorders>
              <w:top w:val="nil"/>
              <w:left w:val="nil"/>
              <w:bottom w:val="single" w:sz="8" w:space="0" w:color="BFBFBF"/>
              <w:right w:val="single" w:sz="8" w:space="0" w:color="BFBFBF"/>
            </w:tcBorders>
            <w:shd w:val="clear" w:color="FFFFFF" w:fill="FFFFFF"/>
            <w:noWrap/>
            <w:vAlign w:val="bottom"/>
            <w:hideMark/>
          </w:tcPr>
          <w:p w14:paraId="36BCAB3E" w14:textId="091C5BA7"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5,656 </w:t>
            </w:r>
          </w:p>
        </w:tc>
        <w:tc>
          <w:tcPr>
            <w:tcW w:w="1080" w:type="dxa"/>
            <w:tcBorders>
              <w:top w:val="nil"/>
              <w:left w:val="nil"/>
              <w:bottom w:val="single" w:sz="8" w:space="0" w:color="BFBFBF"/>
              <w:right w:val="single" w:sz="8" w:space="0" w:color="BFBFBF"/>
            </w:tcBorders>
            <w:shd w:val="clear" w:color="FFFFFF" w:fill="FFFFFF"/>
            <w:noWrap/>
            <w:vAlign w:val="bottom"/>
            <w:hideMark/>
          </w:tcPr>
          <w:p w14:paraId="7F022F5A" w14:textId="37F93222"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7,602 </w:t>
            </w:r>
          </w:p>
        </w:tc>
        <w:tc>
          <w:tcPr>
            <w:tcW w:w="1007" w:type="dxa"/>
            <w:tcBorders>
              <w:top w:val="nil"/>
              <w:left w:val="nil"/>
              <w:bottom w:val="single" w:sz="8" w:space="0" w:color="BFBFBF"/>
              <w:right w:val="single" w:sz="8" w:space="0" w:color="BFBFBF"/>
            </w:tcBorders>
            <w:shd w:val="clear" w:color="FFFFFF" w:fill="FFFFFF"/>
            <w:noWrap/>
            <w:vAlign w:val="bottom"/>
            <w:hideMark/>
          </w:tcPr>
          <w:p w14:paraId="11DF9AFD" w14:textId="71FD2514"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55,966 </w:t>
            </w:r>
          </w:p>
        </w:tc>
      </w:tr>
      <w:tr w:rsidR="00A82A06" w:rsidRPr="001F0712" w14:paraId="123B5360"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06EB6E27"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POF</w:t>
            </w:r>
          </w:p>
        </w:tc>
        <w:tc>
          <w:tcPr>
            <w:tcW w:w="1020" w:type="dxa"/>
            <w:tcBorders>
              <w:top w:val="nil"/>
              <w:left w:val="nil"/>
              <w:bottom w:val="single" w:sz="8" w:space="0" w:color="BFBFBF"/>
              <w:right w:val="single" w:sz="8" w:space="0" w:color="BFBFBF"/>
            </w:tcBorders>
            <w:shd w:val="clear" w:color="000000" w:fill="FFFFFF"/>
            <w:noWrap/>
            <w:vAlign w:val="center"/>
            <w:hideMark/>
          </w:tcPr>
          <w:p w14:paraId="10ED82FF"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34</w:t>
            </w:r>
          </w:p>
        </w:tc>
        <w:tc>
          <w:tcPr>
            <w:tcW w:w="1390" w:type="dxa"/>
            <w:tcBorders>
              <w:top w:val="nil"/>
              <w:left w:val="nil"/>
              <w:bottom w:val="single" w:sz="8" w:space="0" w:color="BFBFBF"/>
              <w:right w:val="single" w:sz="8" w:space="0" w:color="BFBFBF"/>
            </w:tcBorders>
            <w:shd w:val="clear" w:color="000000" w:fill="FFFFFF"/>
            <w:noWrap/>
            <w:vAlign w:val="center"/>
            <w:hideMark/>
          </w:tcPr>
          <w:p w14:paraId="02C7264A" w14:textId="0C7C37D0"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43,693 </w:t>
            </w:r>
          </w:p>
        </w:tc>
        <w:tc>
          <w:tcPr>
            <w:tcW w:w="1295" w:type="dxa"/>
            <w:tcBorders>
              <w:top w:val="nil"/>
              <w:left w:val="nil"/>
              <w:bottom w:val="single" w:sz="8" w:space="0" w:color="BFBFBF"/>
              <w:right w:val="single" w:sz="8" w:space="0" w:color="BFBFBF"/>
            </w:tcBorders>
            <w:shd w:val="clear" w:color="FFFFFF" w:fill="FFFFFF"/>
            <w:noWrap/>
            <w:vAlign w:val="bottom"/>
            <w:hideMark/>
          </w:tcPr>
          <w:p w14:paraId="2D149A75" w14:textId="4DF59810"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5,804 </w:t>
            </w:r>
          </w:p>
        </w:tc>
        <w:tc>
          <w:tcPr>
            <w:tcW w:w="1080" w:type="dxa"/>
            <w:tcBorders>
              <w:top w:val="nil"/>
              <w:left w:val="nil"/>
              <w:bottom w:val="single" w:sz="8" w:space="0" w:color="BFBFBF"/>
              <w:right w:val="single" w:sz="8" w:space="0" w:color="BFBFBF"/>
            </w:tcBorders>
            <w:shd w:val="clear" w:color="FFFFFF" w:fill="FFFFFF"/>
            <w:noWrap/>
            <w:vAlign w:val="bottom"/>
            <w:hideMark/>
          </w:tcPr>
          <w:p w14:paraId="0A764F7B" w14:textId="48C6E207"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7,777 </w:t>
            </w:r>
          </w:p>
        </w:tc>
        <w:tc>
          <w:tcPr>
            <w:tcW w:w="1007" w:type="dxa"/>
            <w:tcBorders>
              <w:top w:val="nil"/>
              <w:left w:val="nil"/>
              <w:bottom w:val="single" w:sz="8" w:space="0" w:color="BFBFBF"/>
              <w:right w:val="single" w:sz="8" w:space="0" w:color="BFBFBF"/>
            </w:tcBorders>
            <w:shd w:val="clear" w:color="FFFFFF" w:fill="FFFFFF"/>
            <w:noWrap/>
            <w:vAlign w:val="bottom"/>
            <w:hideMark/>
          </w:tcPr>
          <w:p w14:paraId="77D3C50C" w14:textId="64A80D4A"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57,274 </w:t>
            </w:r>
          </w:p>
        </w:tc>
      </w:tr>
      <w:tr w:rsidR="00A82A06" w:rsidRPr="001F0712" w14:paraId="1D6F2CD5"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08FA40A7"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POF and POG</w:t>
            </w:r>
          </w:p>
        </w:tc>
        <w:tc>
          <w:tcPr>
            <w:tcW w:w="1020" w:type="dxa"/>
            <w:tcBorders>
              <w:top w:val="nil"/>
              <w:left w:val="nil"/>
              <w:bottom w:val="single" w:sz="8" w:space="0" w:color="BFBFBF"/>
              <w:right w:val="single" w:sz="8" w:space="0" w:color="BFBFBF"/>
            </w:tcBorders>
            <w:shd w:val="clear" w:color="000000" w:fill="FFFFFF"/>
            <w:noWrap/>
            <w:vAlign w:val="center"/>
            <w:hideMark/>
          </w:tcPr>
          <w:p w14:paraId="038EF1AE"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35</w:t>
            </w:r>
          </w:p>
        </w:tc>
        <w:tc>
          <w:tcPr>
            <w:tcW w:w="1390" w:type="dxa"/>
            <w:tcBorders>
              <w:top w:val="nil"/>
              <w:left w:val="nil"/>
              <w:bottom w:val="single" w:sz="8" w:space="0" w:color="BFBFBF"/>
              <w:right w:val="single" w:sz="8" w:space="0" w:color="BFBFBF"/>
            </w:tcBorders>
            <w:shd w:val="clear" w:color="000000" w:fill="FFFFFF"/>
            <w:noWrap/>
            <w:vAlign w:val="center"/>
            <w:hideMark/>
          </w:tcPr>
          <w:p w14:paraId="1DDA5DBB" w14:textId="09823491"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44,711 </w:t>
            </w:r>
          </w:p>
        </w:tc>
        <w:tc>
          <w:tcPr>
            <w:tcW w:w="1295" w:type="dxa"/>
            <w:tcBorders>
              <w:top w:val="nil"/>
              <w:left w:val="nil"/>
              <w:bottom w:val="single" w:sz="8" w:space="0" w:color="BFBFBF"/>
              <w:right w:val="single" w:sz="8" w:space="0" w:color="BFBFBF"/>
            </w:tcBorders>
            <w:shd w:val="clear" w:color="FFFFFF" w:fill="FFFFFF"/>
            <w:noWrap/>
            <w:vAlign w:val="bottom"/>
            <w:hideMark/>
          </w:tcPr>
          <w:p w14:paraId="5D4A8747" w14:textId="3483B4D7"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5,957 </w:t>
            </w:r>
          </w:p>
        </w:tc>
        <w:tc>
          <w:tcPr>
            <w:tcW w:w="1080" w:type="dxa"/>
            <w:tcBorders>
              <w:top w:val="nil"/>
              <w:left w:val="nil"/>
              <w:bottom w:val="single" w:sz="8" w:space="0" w:color="BFBFBF"/>
              <w:right w:val="single" w:sz="8" w:space="0" w:color="BFBFBF"/>
            </w:tcBorders>
            <w:shd w:val="clear" w:color="FFFFFF" w:fill="FFFFFF"/>
            <w:noWrap/>
            <w:vAlign w:val="bottom"/>
            <w:hideMark/>
          </w:tcPr>
          <w:p w14:paraId="0F349F6A" w14:textId="1F41991D"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7,959 </w:t>
            </w:r>
          </w:p>
        </w:tc>
        <w:tc>
          <w:tcPr>
            <w:tcW w:w="1007" w:type="dxa"/>
            <w:tcBorders>
              <w:top w:val="nil"/>
              <w:left w:val="nil"/>
              <w:bottom w:val="single" w:sz="8" w:space="0" w:color="BFBFBF"/>
              <w:right w:val="single" w:sz="8" w:space="0" w:color="BFBFBF"/>
            </w:tcBorders>
            <w:shd w:val="clear" w:color="FFFFFF" w:fill="FFFFFF"/>
            <w:noWrap/>
            <w:vAlign w:val="bottom"/>
            <w:hideMark/>
          </w:tcPr>
          <w:p w14:paraId="70D45935" w14:textId="7C2E94FF"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58,627 </w:t>
            </w:r>
          </w:p>
        </w:tc>
      </w:tr>
      <w:tr w:rsidR="00A82A06" w:rsidRPr="001F0712" w14:paraId="22FFA03D"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4D17B47B"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POG</w:t>
            </w:r>
          </w:p>
        </w:tc>
        <w:tc>
          <w:tcPr>
            <w:tcW w:w="1020" w:type="dxa"/>
            <w:tcBorders>
              <w:top w:val="nil"/>
              <w:left w:val="nil"/>
              <w:bottom w:val="single" w:sz="8" w:space="0" w:color="BFBFBF"/>
              <w:right w:val="single" w:sz="8" w:space="0" w:color="BFBFBF"/>
            </w:tcBorders>
            <w:shd w:val="clear" w:color="000000" w:fill="FFFFFF"/>
            <w:noWrap/>
            <w:vAlign w:val="center"/>
            <w:hideMark/>
          </w:tcPr>
          <w:p w14:paraId="2173A901"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36</w:t>
            </w:r>
          </w:p>
        </w:tc>
        <w:tc>
          <w:tcPr>
            <w:tcW w:w="1390" w:type="dxa"/>
            <w:tcBorders>
              <w:top w:val="nil"/>
              <w:left w:val="nil"/>
              <w:bottom w:val="single" w:sz="8" w:space="0" w:color="BFBFBF"/>
              <w:right w:val="single" w:sz="8" w:space="0" w:color="BFBFBF"/>
            </w:tcBorders>
            <w:shd w:val="clear" w:color="000000" w:fill="FFFFFF"/>
            <w:noWrap/>
            <w:vAlign w:val="center"/>
            <w:hideMark/>
          </w:tcPr>
          <w:p w14:paraId="6D27486D" w14:textId="750C04E8"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45,718 </w:t>
            </w:r>
          </w:p>
        </w:tc>
        <w:tc>
          <w:tcPr>
            <w:tcW w:w="1295" w:type="dxa"/>
            <w:tcBorders>
              <w:top w:val="nil"/>
              <w:left w:val="nil"/>
              <w:bottom w:val="single" w:sz="8" w:space="0" w:color="BFBFBF"/>
              <w:right w:val="single" w:sz="8" w:space="0" w:color="BFBFBF"/>
            </w:tcBorders>
            <w:shd w:val="clear" w:color="FFFFFF" w:fill="FFFFFF"/>
            <w:noWrap/>
            <w:vAlign w:val="bottom"/>
            <w:hideMark/>
          </w:tcPr>
          <w:p w14:paraId="17127F3A" w14:textId="1F4F4ABC"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6,108 </w:t>
            </w:r>
          </w:p>
        </w:tc>
        <w:tc>
          <w:tcPr>
            <w:tcW w:w="1080" w:type="dxa"/>
            <w:tcBorders>
              <w:top w:val="nil"/>
              <w:left w:val="nil"/>
              <w:bottom w:val="single" w:sz="8" w:space="0" w:color="BFBFBF"/>
              <w:right w:val="single" w:sz="8" w:space="0" w:color="BFBFBF"/>
            </w:tcBorders>
            <w:shd w:val="clear" w:color="FFFFFF" w:fill="FFFFFF"/>
            <w:noWrap/>
            <w:vAlign w:val="bottom"/>
            <w:hideMark/>
          </w:tcPr>
          <w:p w14:paraId="3BA790D6" w14:textId="755DEC65"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8,138 </w:t>
            </w:r>
          </w:p>
        </w:tc>
        <w:tc>
          <w:tcPr>
            <w:tcW w:w="1007" w:type="dxa"/>
            <w:tcBorders>
              <w:top w:val="nil"/>
              <w:left w:val="nil"/>
              <w:bottom w:val="single" w:sz="8" w:space="0" w:color="BFBFBF"/>
              <w:right w:val="single" w:sz="8" w:space="0" w:color="BFBFBF"/>
            </w:tcBorders>
            <w:shd w:val="clear" w:color="FFFFFF" w:fill="FFFFFF"/>
            <w:noWrap/>
            <w:vAlign w:val="bottom"/>
            <w:hideMark/>
          </w:tcPr>
          <w:p w14:paraId="266C477F" w14:textId="33A95D23"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59,964 </w:t>
            </w:r>
          </w:p>
        </w:tc>
      </w:tr>
      <w:tr w:rsidR="00A82A06" w:rsidRPr="001F0712" w14:paraId="4DE1AF0F"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43B31A7A"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POG</w:t>
            </w:r>
          </w:p>
        </w:tc>
        <w:tc>
          <w:tcPr>
            <w:tcW w:w="1020" w:type="dxa"/>
            <w:tcBorders>
              <w:top w:val="nil"/>
              <w:left w:val="nil"/>
              <w:bottom w:val="single" w:sz="8" w:space="0" w:color="BFBFBF"/>
              <w:right w:val="single" w:sz="8" w:space="0" w:color="BFBFBF"/>
            </w:tcBorders>
            <w:shd w:val="clear" w:color="000000" w:fill="FFFFFF"/>
            <w:noWrap/>
            <w:vAlign w:val="center"/>
            <w:hideMark/>
          </w:tcPr>
          <w:p w14:paraId="490B9DC0"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37</w:t>
            </w:r>
          </w:p>
        </w:tc>
        <w:tc>
          <w:tcPr>
            <w:tcW w:w="1390" w:type="dxa"/>
            <w:tcBorders>
              <w:top w:val="nil"/>
              <w:left w:val="nil"/>
              <w:bottom w:val="single" w:sz="8" w:space="0" w:color="BFBFBF"/>
              <w:right w:val="single" w:sz="8" w:space="0" w:color="BFBFBF"/>
            </w:tcBorders>
            <w:shd w:val="clear" w:color="000000" w:fill="FFFFFF"/>
            <w:noWrap/>
            <w:vAlign w:val="center"/>
            <w:hideMark/>
          </w:tcPr>
          <w:p w14:paraId="5DAFAA03" w14:textId="54EBF3AC"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46,731 </w:t>
            </w:r>
          </w:p>
        </w:tc>
        <w:tc>
          <w:tcPr>
            <w:tcW w:w="1295" w:type="dxa"/>
            <w:tcBorders>
              <w:top w:val="nil"/>
              <w:left w:val="nil"/>
              <w:bottom w:val="single" w:sz="8" w:space="0" w:color="BFBFBF"/>
              <w:right w:val="single" w:sz="8" w:space="0" w:color="BFBFBF"/>
            </w:tcBorders>
            <w:shd w:val="clear" w:color="FFFFFF" w:fill="FFFFFF"/>
            <w:noWrap/>
            <w:vAlign w:val="bottom"/>
            <w:hideMark/>
          </w:tcPr>
          <w:p w14:paraId="371A1812" w14:textId="2C093825"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6,260 </w:t>
            </w:r>
          </w:p>
        </w:tc>
        <w:tc>
          <w:tcPr>
            <w:tcW w:w="1080" w:type="dxa"/>
            <w:tcBorders>
              <w:top w:val="nil"/>
              <w:left w:val="nil"/>
              <w:bottom w:val="single" w:sz="8" w:space="0" w:color="BFBFBF"/>
              <w:right w:val="single" w:sz="8" w:space="0" w:color="BFBFBF"/>
            </w:tcBorders>
            <w:shd w:val="clear" w:color="FFFFFF" w:fill="FFFFFF"/>
            <w:noWrap/>
            <w:vAlign w:val="bottom"/>
            <w:hideMark/>
          </w:tcPr>
          <w:p w14:paraId="7F1A425A" w14:textId="1BA50CA0"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8,318 </w:t>
            </w:r>
          </w:p>
        </w:tc>
        <w:tc>
          <w:tcPr>
            <w:tcW w:w="1007" w:type="dxa"/>
            <w:tcBorders>
              <w:top w:val="nil"/>
              <w:left w:val="nil"/>
              <w:bottom w:val="single" w:sz="8" w:space="0" w:color="BFBFBF"/>
              <w:right w:val="single" w:sz="8" w:space="0" w:color="BFBFBF"/>
            </w:tcBorders>
            <w:shd w:val="clear" w:color="FFFFFF" w:fill="FFFFFF"/>
            <w:noWrap/>
            <w:vAlign w:val="bottom"/>
            <w:hideMark/>
          </w:tcPr>
          <w:p w14:paraId="2D707267" w14:textId="361E3646"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61,309 </w:t>
            </w:r>
          </w:p>
        </w:tc>
      </w:tr>
      <w:tr w:rsidR="00A82A06" w:rsidRPr="001F0712" w14:paraId="2B576C34"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6605C3E3"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POG and POH</w:t>
            </w:r>
          </w:p>
        </w:tc>
        <w:tc>
          <w:tcPr>
            <w:tcW w:w="1020" w:type="dxa"/>
            <w:tcBorders>
              <w:top w:val="nil"/>
              <w:left w:val="nil"/>
              <w:bottom w:val="single" w:sz="8" w:space="0" w:color="BFBFBF"/>
              <w:right w:val="single" w:sz="8" w:space="0" w:color="BFBFBF"/>
            </w:tcBorders>
            <w:shd w:val="clear" w:color="000000" w:fill="FFFFFF"/>
            <w:noWrap/>
            <w:vAlign w:val="center"/>
            <w:hideMark/>
          </w:tcPr>
          <w:p w14:paraId="0638DBD2"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38</w:t>
            </w:r>
          </w:p>
        </w:tc>
        <w:tc>
          <w:tcPr>
            <w:tcW w:w="1390" w:type="dxa"/>
            <w:tcBorders>
              <w:top w:val="nil"/>
              <w:left w:val="nil"/>
              <w:bottom w:val="single" w:sz="8" w:space="0" w:color="BFBFBF"/>
              <w:right w:val="single" w:sz="8" w:space="0" w:color="BFBFBF"/>
            </w:tcBorders>
            <w:shd w:val="clear" w:color="000000" w:fill="FFFFFF"/>
            <w:noWrap/>
            <w:vAlign w:val="center"/>
            <w:hideMark/>
          </w:tcPr>
          <w:p w14:paraId="4E55C089" w14:textId="60259159"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47,754 </w:t>
            </w:r>
          </w:p>
        </w:tc>
        <w:tc>
          <w:tcPr>
            <w:tcW w:w="1295" w:type="dxa"/>
            <w:tcBorders>
              <w:top w:val="nil"/>
              <w:left w:val="nil"/>
              <w:bottom w:val="single" w:sz="8" w:space="0" w:color="BFBFBF"/>
              <w:right w:val="single" w:sz="8" w:space="0" w:color="BFBFBF"/>
            </w:tcBorders>
            <w:shd w:val="clear" w:color="FFFFFF" w:fill="FFFFFF"/>
            <w:noWrap/>
            <w:vAlign w:val="bottom"/>
            <w:hideMark/>
          </w:tcPr>
          <w:p w14:paraId="4AC818EB" w14:textId="594A2A9E"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6,413 </w:t>
            </w:r>
          </w:p>
        </w:tc>
        <w:tc>
          <w:tcPr>
            <w:tcW w:w="1080" w:type="dxa"/>
            <w:tcBorders>
              <w:top w:val="nil"/>
              <w:left w:val="nil"/>
              <w:bottom w:val="single" w:sz="8" w:space="0" w:color="BFBFBF"/>
              <w:right w:val="single" w:sz="8" w:space="0" w:color="BFBFBF"/>
            </w:tcBorders>
            <w:shd w:val="clear" w:color="FFFFFF" w:fill="FFFFFF"/>
            <w:noWrap/>
            <w:vAlign w:val="bottom"/>
            <w:hideMark/>
          </w:tcPr>
          <w:p w14:paraId="7970BE58" w14:textId="486972FD"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8,500 </w:t>
            </w:r>
          </w:p>
        </w:tc>
        <w:tc>
          <w:tcPr>
            <w:tcW w:w="1007" w:type="dxa"/>
            <w:tcBorders>
              <w:top w:val="nil"/>
              <w:left w:val="nil"/>
              <w:bottom w:val="single" w:sz="8" w:space="0" w:color="BFBFBF"/>
              <w:right w:val="single" w:sz="8" w:space="0" w:color="BFBFBF"/>
            </w:tcBorders>
            <w:shd w:val="clear" w:color="FFFFFF" w:fill="FFFFFF"/>
            <w:noWrap/>
            <w:vAlign w:val="bottom"/>
            <w:hideMark/>
          </w:tcPr>
          <w:p w14:paraId="7543210A" w14:textId="591D4F6D"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62,667 </w:t>
            </w:r>
          </w:p>
        </w:tc>
      </w:tr>
      <w:tr w:rsidR="00A82A06" w:rsidRPr="001F0712" w14:paraId="7C20402F"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53DECC33"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POH</w:t>
            </w:r>
          </w:p>
        </w:tc>
        <w:tc>
          <w:tcPr>
            <w:tcW w:w="1020" w:type="dxa"/>
            <w:tcBorders>
              <w:top w:val="nil"/>
              <w:left w:val="nil"/>
              <w:bottom w:val="single" w:sz="8" w:space="0" w:color="BFBFBF"/>
              <w:right w:val="single" w:sz="8" w:space="0" w:color="BFBFBF"/>
            </w:tcBorders>
            <w:shd w:val="clear" w:color="000000" w:fill="FFFFFF"/>
            <w:noWrap/>
            <w:vAlign w:val="center"/>
            <w:hideMark/>
          </w:tcPr>
          <w:p w14:paraId="254C9B0B"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39</w:t>
            </w:r>
          </w:p>
        </w:tc>
        <w:tc>
          <w:tcPr>
            <w:tcW w:w="1390" w:type="dxa"/>
            <w:tcBorders>
              <w:top w:val="nil"/>
              <w:left w:val="nil"/>
              <w:bottom w:val="single" w:sz="8" w:space="0" w:color="BFBFBF"/>
              <w:right w:val="single" w:sz="8" w:space="0" w:color="BFBFBF"/>
            </w:tcBorders>
            <w:shd w:val="clear" w:color="000000" w:fill="FFFFFF"/>
            <w:noWrap/>
            <w:vAlign w:val="center"/>
            <w:hideMark/>
          </w:tcPr>
          <w:p w14:paraId="06E4B8A9" w14:textId="439280FF"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48,710 </w:t>
            </w:r>
          </w:p>
        </w:tc>
        <w:tc>
          <w:tcPr>
            <w:tcW w:w="1295" w:type="dxa"/>
            <w:tcBorders>
              <w:top w:val="nil"/>
              <w:left w:val="nil"/>
              <w:bottom w:val="single" w:sz="8" w:space="0" w:color="BFBFBF"/>
              <w:right w:val="single" w:sz="8" w:space="0" w:color="BFBFBF"/>
            </w:tcBorders>
            <w:shd w:val="clear" w:color="FFFFFF" w:fill="FFFFFF"/>
            <w:noWrap/>
            <w:vAlign w:val="bottom"/>
            <w:hideMark/>
          </w:tcPr>
          <w:p w14:paraId="0F8CDFB3" w14:textId="23CBF924"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6,557 </w:t>
            </w:r>
          </w:p>
        </w:tc>
        <w:tc>
          <w:tcPr>
            <w:tcW w:w="1080" w:type="dxa"/>
            <w:tcBorders>
              <w:top w:val="nil"/>
              <w:left w:val="nil"/>
              <w:bottom w:val="single" w:sz="8" w:space="0" w:color="BFBFBF"/>
              <w:right w:val="single" w:sz="8" w:space="0" w:color="BFBFBF"/>
            </w:tcBorders>
            <w:shd w:val="clear" w:color="FFFFFF" w:fill="FFFFFF"/>
            <w:noWrap/>
            <w:vAlign w:val="bottom"/>
            <w:hideMark/>
          </w:tcPr>
          <w:p w14:paraId="2A6E8143" w14:textId="44D17503"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8,670 </w:t>
            </w:r>
          </w:p>
        </w:tc>
        <w:tc>
          <w:tcPr>
            <w:tcW w:w="1007" w:type="dxa"/>
            <w:tcBorders>
              <w:top w:val="nil"/>
              <w:left w:val="nil"/>
              <w:bottom w:val="single" w:sz="8" w:space="0" w:color="BFBFBF"/>
              <w:right w:val="single" w:sz="8" w:space="0" w:color="BFBFBF"/>
            </w:tcBorders>
            <w:shd w:val="clear" w:color="FFFFFF" w:fill="FFFFFF"/>
            <w:noWrap/>
            <w:vAlign w:val="bottom"/>
            <w:hideMark/>
          </w:tcPr>
          <w:p w14:paraId="6C61B9C2" w14:textId="044CFAA0"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63,937 </w:t>
            </w:r>
          </w:p>
        </w:tc>
      </w:tr>
      <w:tr w:rsidR="00A82A06" w:rsidRPr="001F0712" w14:paraId="2F031EBF"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7C4B3CE3"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POH and POI</w:t>
            </w:r>
          </w:p>
        </w:tc>
        <w:tc>
          <w:tcPr>
            <w:tcW w:w="1020" w:type="dxa"/>
            <w:tcBorders>
              <w:top w:val="nil"/>
              <w:left w:val="nil"/>
              <w:bottom w:val="single" w:sz="8" w:space="0" w:color="BFBFBF"/>
              <w:right w:val="single" w:sz="8" w:space="0" w:color="BFBFBF"/>
            </w:tcBorders>
            <w:shd w:val="clear" w:color="000000" w:fill="FFFFFF"/>
            <w:noWrap/>
            <w:vAlign w:val="center"/>
            <w:hideMark/>
          </w:tcPr>
          <w:p w14:paraId="6D6BCD5E"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40</w:t>
            </w:r>
          </w:p>
        </w:tc>
        <w:tc>
          <w:tcPr>
            <w:tcW w:w="1390" w:type="dxa"/>
            <w:tcBorders>
              <w:top w:val="nil"/>
              <w:left w:val="nil"/>
              <w:bottom w:val="single" w:sz="8" w:space="0" w:color="BFBFBF"/>
              <w:right w:val="single" w:sz="8" w:space="0" w:color="BFBFBF"/>
            </w:tcBorders>
            <w:shd w:val="clear" w:color="000000" w:fill="FFFFFF"/>
            <w:noWrap/>
            <w:vAlign w:val="center"/>
            <w:hideMark/>
          </w:tcPr>
          <w:p w14:paraId="5BB2878F" w14:textId="46113B52"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49,764 </w:t>
            </w:r>
          </w:p>
        </w:tc>
        <w:tc>
          <w:tcPr>
            <w:tcW w:w="1295" w:type="dxa"/>
            <w:tcBorders>
              <w:top w:val="nil"/>
              <w:left w:val="nil"/>
              <w:bottom w:val="single" w:sz="8" w:space="0" w:color="BFBFBF"/>
              <w:right w:val="single" w:sz="8" w:space="0" w:color="BFBFBF"/>
            </w:tcBorders>
            <w:shd w:val="clear" w:color="FFFFFF" w:fill="FFFFFF"/>
            <w:noWrap/>
            <w:vAlign w:val="bottom"/>
            <w:hideMark/>
          </w:tcPr>
          <w:p w14:paraId="6B074EE4" w14:textId="2DE16C3C"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6,715 </w:t>
            </w:r>
          </w:p>
        </w:tc>
        <w:tc>
          <w:tcPr>
            <w:tcW w:w="1080" w:type="dxa"/>
            <w:tcBorders>
              <w:top w:val="nil"/>
              <w:left w:val="nil"/>
              <w:bottom w:val="single" w:sz="8" w:space="0" w:color="BFBFBF"/>
              <w:right w:val="single" w:sz="8" w:space="0" w:color="BFBFBF"/>
            </w:tcBorders>
            <w:shd w:val="clear" w:color="FFFFFF" w:fill="FFFFFF"/>
            <w:noWrap/>
            <w:vAlign w:val="bottom"/>
            <w:hideMark/>
          </w:tcPr>
          <w:p w14:paraId="126A67C8" w14:textId="00EA760C"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8,858 </w:t>
            </w:r>
          </w:p>
        </w:tc>
        <w:tc>
          <w:tcPr>
            <w:tcW w:w="1007" w:type="dxa"/>
            <w:tcBorders>
              <w:top w:val="nil"/>
              <w:left w:val="nil"/>
              <w:bottom w:val="single" w:sz="8" w:space="0" w:color="BFBFBF"/>
              <w:right w:val="single" w:sz="8" w:space="0" w:color="BFBFBF"/>
            </w:tcBorders>
            <w:shd w:val="clear" w:color="FFFFFF" w:fill="FFFFFF"/>
            <w:noWrap/>
            <w:vAlign w:val="bottom"/>
            <w:hideMark/>
          </w:tcPr>
          <w:p w14:paraId="171C2D50" w14:textId="517A52D1"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65,337 </w:t>
            </w:r>
          </w:p>
        </w:tc>
      </w:tr>
      <w:tr w:rsidR="00A82A06" w:rsidRPr="001F0712" w14:paraId="7E7894D5"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25BF4035"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POH and POI</w:t>
            </w:r>
          </w:p>
        </w:tc>
        <w:tc>
          <w:tcPr>
            <w:tcW w:w="1020" w:type="dxa"/>
            <w:tcBorders>
              <w:top w:val="nil"/>
              <w:left w:val="nil"/>
              <w:bottom w:val="single" w:sz="8" w:space="0" w:color="BFBFBF"/>
              <w:right w:val="single" w:sz="8" w:space="0" w:color="BFBFBF"/>
            </w:tcBorders>
            <w:shd w:val="clear" w:color="000000" w:fill="FFFFFF"/>
            <w:noWrap/>
            <w:vAlign w:val="center"/>
            <w:hideMark/>
          </w:tcPr>
          <w:p w14:paraId="350EFB49"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41</w:t>
            </w:r>
          </w:p>
        </w:tc>
        <w:tc>
          <w:tcPr>
            <w:tcW w:w="1390" w:type="dxa"/>
            <w:tcBorders>
              <w:top w:val="nil"/>
              <w:left w:val="nil"/>
              <w:bottom w:val="single" w:sz="8" w:space="0" w:color="BFBFBF"/>
              <w:right w:val="single" w:sz="8" w:space="0" w:color="BFBFBF"/>
            </w:tcBorders>
            <w:shd w:val="clear" w:color="000000" w:fill="FFFFFF"/>
            <w:noWrap/>
            <w:vAlign w:val="center"/>
            <w:hideMark/>
          </w:tcPr>
          <w:p w14:paraId="1ACAE4AE" w14:textId="71C262CF"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50,788 </w:t>
            </w:r>
          </w:p>
        </w:tc>
        <w:tc>
          <w:tcPr>
            <w:tcW w:w="1295" w:type="dxa"/>
            <w:tcBorders>
              <w:top w:val="nil"/>
              <w:left w:val="nil"/>
              <w:bottom w:val="single" w:sz="8" w:space="0" w:color="BFBFBF"/>
              <w:right w:val="single" w:sz="8" w:space="0" w:color="BFBFBF"/>
            </w:tcBorders>
            <w:shd w:val="clear" w:color="FFFFFF" w:fill="FFFFFF"/>
            <w:noWrap/>
            <w:vAlign w:val="bottom"/>
            <w:hideMark/>
          </w:tcPr>
          <w:p w14:paraId="74B3B3C9" w14:textId="498F1E67"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6,868 </w:t>
            </w:r>
          </w:p>
        </w:tc>
        <w:tc>
          <w:tcPr>
            <w:tcW w:w="1080" w:type="dxa"/>
            <w:tcBorders>
              <w:top w:val="nil"/>
              <w:left w:val="nil"/>
              <w:bottom w:val="single" w:sz="8" w:space="0" w:color="BFBFBF"/>
              <w:right w:val="single" w:sz="8" w:space="0" w:color="BFBFBF"/>
            </w:tcBorders>
            <w:shd w:val="clear" w:color="FFFFFF" w:fill="FFFFFF"/>
            <w:noWrap/>
            <w:vAlign w:val="bottom"/>
            <w:hideMark/>
          </w:tcPr>
          <w:p w14:paraId="2D051849" w14:textId="4959BE76"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9,040 </w:t>
            </w:r>
          </w:p>
        </w:tc>
        <w:tc>
          <w:tcPr>
            <w:tcW w:w="1007" w:type="dxa"/>
            <w:tcBorders>
              <w:top w:val="nil"/>
              <w:left w:val="nil"/>
              <w:bottom w:val="single" w:sz="8" w:space="0" w:color="BFBFBF"/>
              <w:right w:val="single" w:sz="8" w:space="0" w:color="BFBFBF"/>
            </w:tcBorders>
            <w:shd w:val="clear" w:color="FFFFFF" w:fill="FFFFFF"/>
            <w:noWrap/>
            <w:vAlign w:val="bottom"/>
            <w:hideMark/>
          </w:tcPr>
          <w:p w14:paraId="37818282" w14:textId="601EE0B8"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66,696 </w:t>
            </w:r>
          </w:p>
        </w:tc>
      </w:tr>
      <w:tr w:rsidR="00A82A06" w:rsidRPr="001F0712" w14:paraId="12384628"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72F2A6E3"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POI</w:t>
            </w:r>
          </w:p>
        </w:tc>
        <w:tc>
          <w:tcPr>
            <w:tcW w:w="1020" w:type="dxa"/>
            <w:tcBorders>
              <w:top w:val="nil"/>
              <w:left w:val="nil"/>
              <w:bottom w:val="single" w:sz="8" w:space="0" w:color="BFBFBF"/>
              <w:right w:val="single" w:sz="8" w:space="0" w:color="BFBFBF"/>
            </w:tcBorders>
            <w:shd w:val="clear" w:color="000000" w:fill="FFFFFF"/>
            <w:noWrap/>
            <w:vAlign w:val="center"/>
            <w:hideMark/>
          </w:tcPr>
          <w:p w14:paraId="61F947E0"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42</w:t>
            </w:r>
          </w:p>
        </w:tc>
        <w:tc>
          <w:tcPr>
            <w:tcW w:w="1390" w:type="dxa"/>
            <w:tcBorders>
              <w:top w:val="nil"/>
              <w:left w:val="nil"/>
              <w:bottom w:val="single" w:sz="8" w:space="0" w:color="BFBFBF"/>
              <w:right w:val="single" w:sz="8" w:space="0" w:color="BFBFBF"/>
            </w:tcBorders>
            <w:shd w:val="clear" w:color="000000" w:fill="FFFFFF"/>
            <w:noWrap/>
            <w:vAlign w:val="center"/>
            <w:hideMark/>
          </w:tcPr>
          <w:p w14:paraId="33474E7E" w14:textId="746F488F"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51,802 </w:t>
            </w:r>
          </w:p>
        </w:tc>
        <w:tc>
          <w:tcPr>
            <w:tcW w:w="1295" w:type="dxa"/>
            <w:tcBorders>
              <w:top w:val="nil"/>
              <w:left w:val="nil"/>
              <w:bottom w:val="single" w:sz="8" w:space="0" w:color="BFBFBF"/>
              <w:right w:val="single" w:sz="8" w:space="0" w:color="BFBFBF"/>
            </w:tcBorders>
            <w:shd w:val="clear" w:color="FFFFFF" w:fill="FFFFFF"/>
            <w:noWrap/>
            <w:vAlign w:val="bottom"/>
            <w:hideMark/>
          </w:tcPr>
          <w:p w14:paraId="519B03C0" w14:textId="1BF6A37B"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7,020 </w:t>
            </w:r>
          </w:p>
        </w:tc>
        <w:tc>
          <w:tcPr>
            <w:tcW w:w="1080" w:type="dxa"/>
            <w:tcBorders>
              <w:top w:val="nil"/>
              <w:left w:val="nil"/>
              <w:bottom w:val="single" w:sz="8" w:space="0" w:color="BFBFBF"/>
              <w:right w:val="single" w:sz="8" w:space="0" w:color="BFBFBF"/>
            </w:tcBorders>
            <w:shd w:val="clear" w:color="FFFFFF" w:fill="FFFFFF"/>
            <w:noWrap/>
            <w:vAlign w:val="bottom"/>
            <w:hideMark/>
          </w:tcPr>
          <w:p w14:paraId="42EBBDA2" w14:textId="2473CD74"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9,221 </w:t>
            </w:r>
          </w:p>
        </w:tc>
        <w:tc>
          <w:tcPr>
            <w:tcW w:w="1007" w:type="dxa"/>
            <w:tcBorders>
              <w:top w:val="nil"/>
              <w:left w:val="nil"/>
              <w:bottom w:val="single" w:sz="8" w:space="0" w:color="BFBFBF"/>
              <w:right w:val="single" w:sz="8" w:space="0" w:color="BFBFBF"/>
            </w:tcBorders>
            <w:shd w:val="clear" w:color="FFFFFF" w:fill="FFFFFF"/>
            <w:noWrap/>
            <w:vAlign w:val="bottom"/>
            <w:hideMark/>
          </w:tcPr>
          <w:p w14:paraId="68D6C45E" w14:textId="567F9DC8"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68,043 </w:t>
            </w:r>
          </w:p>
        </w:tc>
      </w:tr>
      <w:tr w:rsidR="00A82A06" w:rsidRPr="001F0712" w14:paraId="5158A2FC"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13E8379D"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POI and POJ</w:t>
            </w:r>
          </w:p>
        </w:tc>
        <w:tc>
          <w:tcPr>
            <w:tcW w:w="1020" w:type="dxa"/>
            <w:tcBorders>
              <w:top w:val="nil"/>
              <w:left w:val="nil"/>
              <w:bottom w:val="single" w:sz="8" w:space="0" w:color="BFBFBF"/>
              <w:right w:val="single" w:sz="8" w:space="0" w:color="BFBFBF"/>
            </w:tcBorders>
            <w:shd w:val="clear" w:color="000000" w:fill="FFFFFF"/>
            <w:noWrap/>
            <w:vAlign w:val="center"/>
            <w:hideMark/>
          </w:tcPr>
          <w:p w14:paraId="4EAA35A9"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43</w:t>
            </w:r>
          </w:p>
        </w:tc>
        <w:tc>
          <w:tcPr>
            <w:tcW w:w="1390" w:type="dxa"/>
            <w:tcBorders>
              <w:top w:val="nil"/>
              <w:left w:val="nil"/>
              <w:bottom w:val="single" w:sz="8" w:space="0" w:color="BFBFBF"/>
              <w:right w:val="single" w:sz="8" w:space="0" w:color="BFBFBF"/>
            </w:tcBorders>
            <w:shd w:val="clear" w:color="000000" w:fill="FFFFFF"/>
            <w:noWrap/>
            <w:vAlign w:val="center"/>
            <w:hideMark/>
          </w:tcPr>
          <w:p w14:paraId="72D97400" w14:textId="5D6A939B"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52,805 </w:t>
            </w:r>
          </w:p>
        </w:tc>
        <w:tc>
          <w:tcPr>
            <w:tcW w:w="1295" w:type="dxa"/>
            <w:tcBorders>
              <w:top w:val="nil"/>
              <w:left w:val="nil"/>
              <w:bottom w:val="single" w:sz="8" w:space="0" w:color="BFBFBF"/>
              <w:right w:val="single" w:sz="8" w:space="0" w:color="BFBFBF"/>
            </w:tcBorders>
            <w:shd w:val="clear" w:color="FFFFFF" w:fill="FFFFFF"/>
            <w:noWrap/>
            <w:vAlign w:val="bottom"/>
            <w:hideMark/>
          </w:tcPr>
          <w:p w14:paraId="1B441B83" w14:textId="69CAD2DE"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7,171 </w:t>
            </w:r>
          </w:p>
        </w:tc>
        <w:tc>
          <w:tcPr>
            <w:tcW w:w="1080" w:type="dxa"/>
            <w:tcBorders>
              <w:top w:val="nil"/>
              <w:left w:val="nil"/>
              <w:bottom w:val="single" w:sz="8" w:space="0" w:color="BFBFBF"/>
              <w:right w:val="single" w:sz="8" w:space="0" w:color="BFBFBF"/>
            </w:tcBorders>
            <w:shd w:val="clear" w:color="FFFFFF" w:fill="FFFFFF"/>
            <w:noWrap/>
            <w:vAlign w:val="bottom"/>
            <w:hideMark/>
          </w:tcPr>
          <w:p w14:paraId="1EE03FA4" w14:textId="4AB8F384"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9,399 </w:t>
            </w:r>
          </w:p>
        </w:tc>
        <w:tc>
          <w:tcPr>
            <w:tcW w:w="1007" w:type="dxa"/>
            <w:tcBorders>
              <w:top w:val="nil"/>
              <w:left w:val="nil"/>
              <w:bottom w:val="single" w:sz="8" w:space="0" w:color="BFBFBF"/>
              <w:right w:val="single" w:sz="8" w:space="0" w:color="BFBFBF"/>
            </w:tcBorders>
            <w:shd w:val="clear" w:color="FFFFFF" w:fill="FFFFFF"/>
            <w:noWrap/>
            <w:vAlign w:val="bottom"/>
            <w:hideMark/>
          </w:tcPr>
          <w:p w14:paraId="1BF64242" w14:textId="68DCB4A6"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69,375 </w:t>
            </w:r>
          </w:p>
        </w:tc>
      </w:tr>
      <w:tr w:rsidR="00526755" w:rsidRPr="00526755" w14:paraId="2DAA2F5E" w14:textId="77777777" w:rsidTr="00FA4054">
        <w:trPr>
          <w:trHeight w:val="60"/>
        </w:trPr>
        <w:tc>
          <w:tcPr>
            <w:tcW w:w="7499" w:type="dxa"/>
            <w:gridSpan w:val="6"/>
            <w:tcBorders>
              <w:top w:val="single" w:sz="8" w:space="0" w:color="BFBFBF"/>
              <w:left w:val="single" w:sz="8" w:space="0" w:color="BFBFBF"/>
              <w:bottom w:val="single" w:sz="8" w:space="0" w:color="BFBFBF"/>
              <w:right w:val="single" w:sz="8" w:space="0" w:color="BFBFBF"/>
            </w:tcBorders>
            <w:shd w:val="clear" w:color="000000" w:fill="FFFFFF"/>
            <w:vAlign w:val="center"/>
            <w:hideMark/>
          </w:tcPr>
          <w:p w14:paraId="5071828D" w14:textId="77777777" w:rsidR="00C07CCB" w:rsidRPr="00526755" w:rsidRDefault="00C07CCB" w:rsidP="00A82A06">
            <w:pPr>
              <w:spacing w:before="120" w:after="120"/>
              <w:contextualSpacing/>
              <w:rPr>
                <w:rFonts w:ascii="Arial" w:hAnsi="Arial" w:cs="Arial"/>
                <w:b/>
                <w:bCs/>
                <w:color w:val="215E99" w:themeColor="text2" w:themeTint="BF"/>
                <w:sz w:val="20"/>
                <w:szCs w:val="20"/>
              </w:rPr>
            </w:pPr>
            <w:r w:rsidRPr="00526755">
              <w:rPr>
                <w:rFonts w:ascii="Arial" w:hAnsi="Arial" w:cs="Arial"/>
                <w:b/>
                <w:bCs/>
                <w:color w:val="215E99" w:themeColor="text2" w:themeTint="BF"/>
                <w:sz w:val="20"/>
                <w:szCs w:val="20"/>
              </w:rPr>
              <w:t>Non-NJC:</w:t>
            </w:r>
          </w:p>
        </w:tc>
      </w:tr>
      <w:tr w:rsidR="00A82A06" w:rsidRPr="001F0712" w14:paraId="753FF8EE"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74E8024F"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POJ</w:t>
            </w:r>
          </w:p>
        </w:tc>
        <w:tc>
          <w:tcPr>
            <w:tcW w:w="1020" w:type="dxa"/>
            <w:tcBorders>
              <w:top w:val="nil"/>
              <w:left w:val="nil"/>
              <w:bottom w:val="single" w:sz="8" w:space="0" w:color="BFBFBF"/>
              <w:right w:val="single" w:sz="8" w:space="0" w:color="BFBFBF"/>
            </w:tcBorders>
            <w:shd w:val="clear" w:color="000000" w:fill="FFFFFF"/>
            <w:noWrap/>
            <w:vAlign w:val="center"/>
            <w:hideMark/>
          </w:tcPr>
          <w:p w14:paraId="03AD96C0"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44</w:t>
            </w:r>
          </w:p>
        </w:tc>
        <w:tc>
          <w:tcPr>
            <w:tcW w:w="1390" w:type="dxa"/>
            <w:tcBorders>
              <w:top w:val="nil"/>
              <w:left w:val="nil"/>
              <w:bottom w:val="single" w:sz="8" w:space="0" w:color="BFBFBF"/>
              <w:right w:val="single" w:sz="8" w:space="0" w:color="BFBFBF"/>
            </w:tcBorders>
            <w:shd w:val="clear" w:color="000000" w:fill="FFFFFF"/>
            <w:noWrap/>
            <w:vAlign w:val="center"/>
            <w:hideMark/>
          </w:tcPr>
          <w:p w14:paraId="357CF594" w14:textId="0AC0FFC9"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53,925 </w:t>
            </w:r>
          </w:p>
        </w:tc>
        <w:tc>
          <w:tcPr>
            <w:tcW w:w="1295" w:type="dxa"/>
            <w:tcBorders>
              <w:top w:val="nil"/>
              <w:left w:val="nil"/>
              <w:bottom w:val="single" w:sz="8" w:space="0" w:color="BFBFBF"/>
              <w:right w:val="single" w:sz="8" w:space="0" w:color="BFBFBF"/>
            </w:tcBorders>
            <w:shd w:val="clear" w:color="FFFFFF" w:fill="FFFFFF"/>
            <w:noWrap/>
            <w:vAlign w:val="bottom"/>
            <w:hideMark/>
          </w:tcPr>
          <w:p w14:paraId="15E60097" w14:textId="532E454F"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7,339 </w:t>
            </w:r>
          </w:p>
        </w:tc>
        <w:tc>
          <w:tcPr>
            <w:tcW w:w="1080" w:type="dxa"/>
            <w:tcBorders>
              <w:top w:val="nil"/>
              <w:left w:val="nil"/>
              <w:bottom w:val="single" w:sz="8" w:space="0" w:color="BFBFBF"/>
              <w:right w:val="single" w:sz="8" w:space="0" w:color="BFBFBF"/>
            </w:tcBorders>
            <w:shd w:val="clear" w:color="FFFFFF" w:fill="FFFFFF"/>
            <w:noWrap/>
            <w:vAlign w:val="bottom"/>
            <w:hideMark/>
          </w:tcPr>
          <w:p w14:paraId="33B161D2" w14:textId="54ED303D"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9,599 </w:t>
            </w:r>
          </w:p>
        </w:tc>
        <w:tc>
          <w:tcPr>
            <w:tcW w:w="1007" w:type="dxa"/>
            <w:tcBorders>
              <w:top w:val="nil"/>
              <w:left w:val="nil"/>
              <w:bottom w:val="single" w:sz="8" w:space="0" w:color="BFBFBF"/>
              <w:right w:val="single" w:sz="8" w:space="0" w:color="BFBFBF"/>
            </w:tcBorders>
            <w:shd w:val="clear" w:color="FFFFFF" w:fill="FFFFFF"/>
            <w:noWrap/>
            <w:vAlign w:val="bottom"/>
            <w:hideMark/>
          </w:tcPr>
          <w:p w14:paraId="37027B46" w14:textId="558BF2C6"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70,863 </w:t>
            </w:r>
          </w:p>
        </w:tc>
      </w:tr>
      <w:tr w:rsidR="00A82A06" w:rsidRPr="001F0712" w14:paraId="772ABC2F"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323DADC2"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POJ</w:t>
            </w:r>
          </w:p>
        </w:tc>
        <w:tc>
          <w:tcPr>
            <w:tcW w:w="1020" w:type="dxa"/>
            <w:tcBorders>
              <w:top w:val="nil"/>
              <w:left w:val="nil"/>
              <w:bottom w:val="single" w:sz="8" w:space="0" w:color="BFBFBF"/>
              <w:right w:val="single" w:sz="8" w:space="0" w:color="BFBFBF"/>
            </w:tcBorders>
            <w:shd w:val="clear" w:color="000000" w:fill="FFFFFF"/>
            <w:noWrap/>
            <w:vAlign w:val="center"/>
            <w:hideMark/>
          </w:tcPr>
          <w:p w14:paraId="033FC984"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45</w:t>
            </w:r>
          </w:p>
        </w:tc>
        <w:tc>
          <w:tcPr>
            <w:tcW w:w="1390" w:type="dxa"/>
            <w:tcBorders>
              <w:top w:val="nil"/>
              <w:left w:val="nil"/>
              <w:bottom w:val="single" w:sz="8" w:space="0" w:color="BFBFBF"/>
              <w:right w:val="single" w:sz="8" w:space="0" w:color="BFBFBF"/>
            </w:tcBorders>
            <w:shd w:val="clear" w:color="000000" w:fill="FFFFFF"/>
            <w:noWrap/>
            <w:vAlign w:val="center"/>
            <w:hideMark/>
          </w:tcPr>
          <w:p w14:paraId="41227EDB" w14:textId="02F322D5"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55,029 </w:t>
            </w:r>
          </w:p>
        </w:tc>
        <w:tc>
          <w:tcPr>
            <w:tcW w:w="1295" w:type="dxa"/>
            <w:tcBorders>
              <w:top w:val="nil"/>
              <w:left w:val="nil"/>
              <w:bottom w:val="single" w:sz="8" w:space="0" w:color="BFBFBF"/>
              <w:right w:val="single" w:sz="8" w:space="0" w:color="BFBFBF"/>
            </w:tcBorders>
            <w:shd w:val="clear" w:color="FFFFFF" w:fill="FFFFFF"/>
            <w:noWrap/>
            <w:vAlign w:val="bottom"/>
            <w:hideMark/>
          </w:tcPr>
          <w:p w14:paraId="63697059" w14:textId="637BC6ED"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7,505 </w:t>
            </w:r>
          </w:p>
        </w:tc>
        <w:tc>
          <w:tcPr>
            <w:tcW w:w="1080" w:type="dxa"/>
            <w:tcBorders>
              <w:top w:val="nil"/>
              <w:left w:val="nil"/>
              <w:bottom w:val="single" w:sz="8" w:space="0" w:color="BFBFBF"/>
              <w:right w:val="single" w:sz="8" w:space="0" w:color="BFBFBF"/>
            </w:tcBorders>
            <w:shd w:val="clear" w:color="FFFFFF" w:fill="FFFFFF"/>
            <w:noWrap/>
            <w:vAlign w:val="bottom"/>
            <w:hideMark/>
          </w:tcPr>
          <w:p w14:paraId="5F08008A" w14:textId="6CE25BA4"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9,795 </w:t>
            </w:r>
          </w:p>
        </w:tc>
        <w:tc>
          <w:tcPr>
            <w:tcW w:w="1007" w:type="dxa"/>
            <w:tcBorders>
              <w:top w:val="nil"/>
              <w:left w:val="nil"/>
              <w:bottom w:val="single" w:sz="8" w:space="0" w:color="BFBFBF"/>
              <w:right w:val="single" w:sz="8" w:space="0" w:color="BFBFBF"/>
            </w:tcBorders>
            <w:shd w:val="clear" w:color="FFFFFF" w:fill="FFFFFF"/>
            <w:noWrap/>
            <w:vAlign w:val="bottom"/>
            <w:hideMark/>
          </w:tcPr>
          <w:p w14:paraId="510991C9" w14:textId="1ACF684E"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72,329 </w:t>
            </w:r>
          </w:p>
        </w:tc>
      </w:tr>
      <w:tr w:rsidR="00A82A06" w:rsidRPr="001F0712" w14:paraId="53DDF789"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3D82540E" w14:textId="1BC5A840"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POJ and POK</w:t>
            </w:r>
          </w:p>
        </w:tc>
        <w:tc>
          <w:tcPr>
            <w:tcW w:w="1020" w:type="dxa"/>
            <w:tcBorders>
              <w:top w:val="nil"/>
              <w:left w:val="nil"/>
              <w:bottom w:val="single" w:sz="8" w:space="0" w:color="BFBFBF"/>
              <w:right w:val="single" w:sz="8" w:space="0" w:color="BFBFBF"/>
            </w:tcBorders>
            <w:shd w:val="clear" w:color="000000" w:fill="FFFFFF"/>
            <w:noWrap/>
            <w:vAlign w:val="center"/>
            <w:hideMark/>
          </w:tcPr>
          <w:p w14:paraId="4BDF7607"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46</w:t>
            </w:r>
          </w:p>
        </w:tc>
        <w:tc>
          <w:tcPr>
            <w:tcW w:w="1390" w:type="dxa"/>
            <w:tcBorders>
              <w:top w:val="nil"/>
              <w:left w:val="nil"/>
              <w:bottom w:val="single" w:sz="8" w:space="0" w:color="BFBFBF"/>
              <w:right w:val="single" w:sz="8" w:space="0" w:color="BFBFBF"/>
            </w:tcBorders>
            <w:shd w:val="clear" w:color="000000" w:fill="FFFFFF"/>
            <w:noWrap/>
            <w:vAlign w:val="center"/>
            <w:hideMark/>
          </w:tcPr>
          <w:p w14:paraId="56BFB552" w14:textId="46D15283"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56,131 </w:t>
            </w:r>
          </w:p>
        </w:tc>
        <w:tc>
          <w:tcPr>
            <w:tcW w:w="1295" w:type="dxa"/>
            <w:tcBorders>
              <w:top w:val="nil"/>
              <w:left w:val="nil"/>
              <w:bottom w:val="single" w:sz="8" w:space="0" w:color="BFBFBF"/>
              <w:right w:val="single" w:sz="8" w:space="0" w:color="BFBFBF"/>
            </w:tcBorders>
            <w:shd w:val="clear" w:color="FFFFFF" w:fill="FFFFFF"/>
            <w:noWrap/>
            <w:vAlign w:val="bottom"/>
            <w:hideMark/>
          </w:tcPr>
          <w:p w14:paraId="139BEF45" w14:textId="1C906335"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7,670 </w:t>
            </w:r>
          </w:p>
        </w:tc>
        <w:tc>
          <w:tcPr>
            <w:tcW w:w="1080" w:type="dxa"/>
            <w:tcBorders>
              <w:top w:val="nil"/>
              <w:left w:val="nil"/>
              <w:bottom w:val="single" w:sz="8" w:space="0" w:color="BFBFBF"/>
              <w:right w:val="single" w:sz="8" w:space="0" w:color="BFBFBF"/>
            </w:tcBorders>
            <w:shd w:val="clear" w:color="FFFFFF" w:fill="FFFFFF"/>
            <w:noWrap/>
            <w:vAlign w:val="bottom"/>
            <w:hideMark/>
          </w:tcPr>
          <w:p w14:paraId="6036F3CB" w14:textId="4F4170DA"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9,991 </w:t>
            </w:r>
          </w:p>
        </w:tc>
        <w:tc>
          <w:tcPr>
            <w:tcW w:w="1007" w:type="dxa"/>
            <w:tcBorders>
              <w:top w:val="nil"/>
              <w:left w:val="nil"/>
              <w:bottom w:val="single" w:sz="8" w:space="0" w:color="BFBFBF"/>
              <w:right w:val="single" w:sz="8" w:space="0" w:color="BFBFBF"/>
            </w:tcBorders>
            <w:shd w:val="clear" w:color="FFFFFF" w:fill="FFFFFF"/>
            <w:noWrap/>
            <w:vAlign w:val="bottom"/>
            <w:hideMark/>
          </w:tcPr>
          <w:p w14:paraId="3733A8C2" w14:textId="7DC25D9D"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73,792 </w:t>
            </w:r>
          </w:p>
        </w:tc>
      </w:tr>
      <w:tr w:rsidR="00A82A06" w:rsidRPr="001F0712" w14:paraId="79F892F2"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056E338A"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POK</w:t>
            </w:r>
          </w:p>
        </w:tc>
        <w:tc>
          <w:tcPr>
            <w:tcW w:w="1020" w:type="dxa"/>
            <w:tcBorders>
              <w:top w:val="nil"/>
              <w:left w:val="nil"/>
              <w:bottom w:val="single" w:sz="8" w:space="0" w:color="BFBFBF"/>
              <w:right w:val="single" w:sz="8" w:space="0" w:color="BFBFBF"/>
            </w:tcBorders>
            <w:shd w:val="clear" w:color="000000" w:fill="FFFFFF"/>
            <w:noWrap/>
            <w:vAlign w:val="center"/>
            <w:hideMark/>
          </w:tcPr>
          <w:p w14:paraId="6FBBF6C4"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47</w:t>
            </w:r>
          </w:p>
        </w:tc>
        <w:tc>
          <w:tcPr>
            <w:tcW w:w="1390" w:type="dxa"/>
            <w:tcBorders>
              <w:top w:val="nil"/>
              <w:left w:val="nil"/>
              <w:bottom w:val="single" w:sz="8" w:space="0" w:color="BFBFBF"/>
              <w:right w:val="single" w:sz="8" w:space="0" w:color="BFBFBF"/>
            </w:tcBorders>
            <w:shd w:val="clear" w:color="000000" w:fill="FFFFFF"/>
            <w:noWrap/>
            <w:vAlign w:val="center"/>
            <w:hideMark/>
          </w:tcPr>
          <w:p w14:paraId="18F6C1E7" w14:textId="199F43AE"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57,263 </w:t>
            </w:r>
          </w:p>
        </w:tc>
        <w:tc>
          <w:tcPr>
            <w:tcW w:w="1295" w:type="dxa"/>
            <w:tcBorders>
              <w:top w:val="nil"/>
              <w:left w:val="nil"/>
              <w:bottom w:val="single" w:sz="8" w:space="0" w:color="BFBFBF"/>
              <w:right w:val="single" w:sz="8" w:space="0" w:color="BFBFBF"/>
            </w:tcBorders>
            <w:shd w:val="clear" w:color="FFFFFF" w:fill="FFFFFF"/>
            <w:noWrap/>
            <w:vAlign w:val="bottom"/>
            <w:hideMark/>
          </w:tcPr>
          <w:p w14:paraId="4D7988C5" w14:textId="390E59A4"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7,840 </w:t>
            </w:r>
          </w:p>
        </w:tc>
        <w:tc>
          <w:tcPr>
            <w:tcW w:w="1080" w:type="dxa"/>
            <w:tcBorders>
              <w:top w:val="nil"/>
              <w:left w:val="nil"/>
              <w:bottom w:val="single" w:sz="8" w:space="0" w:color="BFBFBF"/>
              <w:right w:val="single" w:sz="8" w:space="0" w:color="BFBFBF"/>
            </w:tcBorders>
            <w:shd w:val="clear" w:color="FFFFFF" w:fill="FFFFFF"/>
            <w:noWrap/>
            <w:vAlign w:val="bottom"/>
            <w:hideMark/>
          </w:tcPr>
          <w:p w14:paraId="4A80BCD7" w14:textId="7BAE6D20"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10,193 </w:t>
            </w:r>
          </w:p>
        </w:tc>
        <w:tc>
          <w:tcPr>
            <w:tcW w:w="1007" w:type="dxa"/>
            <w:tcBorders>
              <w:top w:val="nil"/>
              <w:left w:val="nil"/>
              <w:bottom w:val="single" w:sz="8" w:space="0" w:color="BFBFBF"/>
              <w:right w:val="single" w:sz="8" w:space="0" w:color="BFBFBF"/>
            </w:tcBorders>
            <w:shd w:val="clear" w:color="FFFFFF" w:fill="FFFFFF"/>
            <w:noWrap/>
            <w:vAlign w:val="bottom"/>
            <w:hideMark/>
          </w:tcPr>
          <w:p w14:paraId="47D964B0" w14:textId="3F40665C"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75,296 </w:t>
            </w:r>
          </w:p>
        </w:tc>
      </w:tr>
      <w:tr w:rsidR="00A82A06" w:rsidRPr="001F0712" w14:paraId="4A1320A0"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502A340A"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POK</w:t>
            </w:r>
          </w:p>
        </w:tc>
        <w:tc>
          <w:tcPr>
            <w:tcW w:w="1020" w:type="dxa"/>
            <w:tcBorders>
              <w:top w:val="nil"/>
              <w:left w:val="nil"/>
              <w:bottom w:val="single" w:sz="8" w:space="0" w:color="BFBFBF"/>
              <w:right w:val="single" w:sz="8" w:space="0" w:color="BFBFBF"/>
            </w:tcBorders>
            <w:shd w:val="clear" w:color="000000" w:fill="FFFFFF"/>
            <w:noWrap/>
            <w:vAlign w:val="center"/>
            <w:hideMark/>
          </w:tcPr>
          <w:p w14:paraId="7E1B53A6"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48</w:t>
            </w:r>
          </w:p>
        </w:tc>
        <w:tc>
          <w:tcPr>
            <w:tcW w:w="1390" w:type="dxa"/>
            <w:tcBorders>
              <w:top w:val="nil"/>
              <w:left w:val="nil"/>
              <w:bottom w:val="single" w:sz="8" w:space="0" w:color="BFBFBF"/>
              <w:right w:val="single" w:sz="8" w:space="0" w:color="BFBFBF"/>
            </w:tcBorders>
            <w:shd w:val="clear" w:color="000000" w:fill="FFFFFF"/>
            <w:noWrap/>
            <w:vAlign w:val="center"/>
            <w:hideMark/>
          </w:tcPr>
          <w:p w14:paraId="7964F658" w14:textId="6A294ED7"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58,376 </w:t>
            </w:r>
          </w:p>
        </w:tc>
        <w:tc>
          <w:tcPr>
            <w:tcW w:w="1295" w:type="dxa"/>
            <w:tcBorders>
              <w:top w:val="nil"/>
              <w:left w:val="nil"/>
              <w:bottom w:val="single" w:sz="8" w:space="0" w:color="BFBFBF"/>
              <w:right w:val="single" w:sz="8" w:space="0" w:color="BFBFBF"/>
            </w:tcBorders>
            <w:shd w:val="clear" w:color="FFFFFF" w:fill="FFFFFF"/>
            <w:noWrap/>
            <w:vAlign w:val="bottom"/>
            <w:hideMark/>
          </w:tcPr>
          <w:p w14:paraId="314B95AA" w14:textId="6AEB84EA"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8,007 </w:t>
            </w:r>
          </w:p>
        </w:tc>
        <w:tc>
          <w:tcPr>
            <w:tcW w:w="1080" w:type="dxa"/>
            <w:tcBorders>
              <w:top w:val="nil"/>
              <w:left w:val="nil"/>
              <w:bottom w:val="single" w:sz="8" w:space="0" w:color="BFBFBF"/>
              <w:right w:val="single" w:sz="8" w:space="0" w:color="BFBFBF"/>
            </w:tcBorders>
            <w:shd w:val="clear" w:color="FFFFFF" w:fill="FFFFFF"/>
            <w:noWrap/>
            <w:vAlign w:val="bottom"/>
            <w:hideMark/>
          </w:tcPr>
          <w:p w14:paraId="3BB972CD" w14:textId="3428E29D"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10,391 </w:t>
            </w:r>
          </w:p>
        </w:tc>
        <w:tc>
          <w:tcPr>
            <w:tcW w:w="1007" w:type="dxa"/>
            <w:tcBorders>
              <w:top w:val="nil"/>
              <w:left w:val="nil"/>
              <w:bottom w:val="single" w:sz="8" w:space="0" w:color="BFBFBF"/>
              <w:right w:val="single" w:sz="8" w:space="0" w:color="BFBFBF"/>
            </w:tcBorders>
            <w:shd w:val="clear" w:color="FFFFFF" w:fill="FFFFFF"/>
            <w:noWrap/>
            <w:vAlign w:val="bottom"/>
            <w:hideMark/>
          </w:tcPr>
          <w:p w14:paraId="5475E65B" w14:textId="6D88F1CC"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76,774 </w:t>
            </w:r>
          </w:p>
        </w:tc>
      </w:tr>
      <w:tr w:rsidR="00A82A06" w:rsidRPr="001F0712" w14:paraId="1E9EEFFA" w14:textId="77777777" w:rsidTr="00FA4054">
        <w:trPr>
          <w:trHeight w:val="60"/>
        </w:trPr>
        <w:tc>
          <w:tcPr>
            <w:tcW w:w="1691" w:type="dxa"/>
            <w:tcBorders>
              <w:top w:val="nil"/>
              <w:left w:val="single" w:sz="8" w:space="0" w:color="BFBFBF"/>
              <w:bottom w:val="single" w:sz="8" w:space="0" w:color="BFBFBF"/>
              <w:right w:val="single" w:sz="8" w:space="0" w:color="BFBFBF"/>
            </w:tcBorders>
            <w:shd w:val="clear" w:color="000000" w:fill="FFFFFF"/>
            <w:vAlign w:val="center"/>
            <w:hideMark/>
          </w:tcPr>
          <w:p w14:paraId="5AD785B9" w14:textId="77777777" w:rsidR="00C07CCB" w:rsidRPr="001F0712" w:rsidRDefault="00C07CCB" w:rsidP="00A82A06">
            <w:pPr>
              <w:spacing w:before="120" w:after="120"/>
              <w:contextualSpacing/>
              <w:rPr>
                <w:rFonts w:ascii="Arial" w:hAnsi="Arial" w:cs="Arial"/>
                <w:sz w:val="20"/>
                <w:szCs w:val="20"/>
              </w:rPr>
            </w:pPr>
            <w:r w:rsidRPr="001F0712">
              <w:rPr>
                <w:rFonts w:ascii="Arial" w:hAnsi="Arial" w:cs="Arial"/>
                <w:sz w:val="20"/>
                <w:szCs w:val="20"/>
              </w:rPr>
              <w:t>POK</w:t>
            </w:r>
          </w:p>
        </w:tc>
        <w:tc>
          <w:tcPr>
            <w:tcW w:w="1020" w:type="dxa"/>
            <w:tcBorders>
              <w:top w:val="nil"/>
              <w:left w:val="nil"/>
              <w:bottom w:val="single" w:sz="8" w:space="0" w:color="BFBFBF"/>
              <w:right w:val="single" w:sz="8" w:space="0" w:color="BFBFBF"/>
            </w:tcBorders>
            <w:shd w:val="clear" w:color="000000" w:fill="FFFFFF"/>
            <w:noWrap/>
            <w:vAlign w:val="center"/>
            <w:hideMark/>
          </w:tcPr>
          <w:p w14:paraId="1931DDC1" w14:textId="77777777" w:rsidR="00C07CCB" w:rsidRPr="001F0712" w:rsidRDefault="00C07CCB" w:rsidP="003C139D">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49</w:t>
            </w:r>
          </w:p>
        </w:tc>
        <w:tc>
          <w:tcPr>
            <w:tcW w:w="1390" w:type="dxa"/>
            <w:tcBorders>
              <w:top w:val="nil"/>
              <w:left w:val="nil"/>
              <w:bottom w:val="single" w:sz="8" w:space="0" w:color="BFBFBF"/>
              <w:right w:val="single" w:sz="8" w:space="0" w:color="BFBFBF"/>
            </w:tcBorders>
            <w:shd w:val="clear" w:color="000000" w:fill="FFFFFF"/>
            <w:noWrap/>
            <w:vAlign w:val="center"/>
            <w:hideMark/>
          </w:tcPr>
          <w:p w14:paraId="2914FCE5" w14:textId="3753D27E" w:rsidR="00C07CCB" w:rsidRPr="001F0712" w:rsidRDefault="000D56BE" w:rsidP="003C139D">
            <w:pPr>
              <w:spacing w:before="120" w:after="120"/>
              <w:contextualSpacing/>
              <w:jc w:val="center"/>
              <w:rPr>
                <w:rFonts w:ascii="Arial" w:hAnsi="Arial" w:cs="Arial"/>
                <w:color w:val="000000"/>
                <w:sz w:val="20"/>
                <w:szCs w:val="20"/>
              </w:rPr>
            </w:pPr>
            <w:r w:rsidRPr="001F0712">
              <w:rPr>
                <w:rFonts w:ascii="Arial" w:hAnsi="Arial" w:cs="Arial"/>
                <w:color w:val="000000"/>
                <w:sz w:val="20"/>
                <w:szCs w:val="20"/>
              </w:rPr>
              <w:t xml:space="preserve"> </w:t>
            </w:r>
            <w:r w:rsidR="00C07CCB" w:rsidRPr="001F0712">
              <w:rPr>
                <w:rFonts w:ascii="Arial" w:hAnsi="Arial" w:cs="Arial"/>
                <w:color w:val="000000"/>
                <w:sz w:val="20"/>
                <w:szCs w:val="20"/>
              </w:rPr>
              <w:t xml:space="preserve">59,489 </w:t>
            </w:r>
          </w:p>
        </w:tc>
        <w:tc>
          <w:tcPr>
            <w:tcW w:w="1295" w:type="dxa"/>
            <w:tcBorders>
              <w:top w:val="nil"/>
              <w:left w:val="nil"/>
              <w:bottom w:val="single" w:sz="8" w:space="0" w:color="BFBFBF"/>
              <w:right w:val="single" w:sz="8" w:space="0" w:color="BFBFBF"/>
            </w:tcBorders>
            <w:shd w:val="clear" w:color="FFFFFF" w:fill="FFFFFF"/>
            <w:noWrap/>
            <w:vAlign w:val="bottom"/>
            <w:hideMark/>
          </w:tcPr>
          <w:p w14:paraId="2536B77B" w14:textId="3335A921"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8,174 </w:t>
            </w:r>
          </w:p>
        </w:tc>
        <w:tc>
          <w:tcPr>
            <w:tcW w:w="1080" w:type="dxa"/>
            <w:tcBorders>
              <w:top w:val="nil"/>
              <w:left w:val="nil"/>
              <w:bottom w:val="single" w:sz="8" w:space="0" w:color="BFBFBF"/>
              <w:right w:val="single" w:sz="8" w:space="0" w:color="BFBFBF"/>
            </w:tcBorders>
            <w:shd w:val="clear" w:color="FFFFFF" w:fill="FFFFFF"/>
            <w:noWrap/>
            <w:vAlign w:val="bottom"/>
            <w:hideMark/>
          </w:tcPr>
          <w:p w14:paraId="3F29BECD" w14:textId="4CD5C8D3"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10,589 </w:t>
            </w:r>
          </w:p>
        </w:tc>
        <w:tc>
          <w:tcPr>
            <w:tcW w:w="1007" w:type="dxa"/>
            <w:tcBorders>
              <w:top w:val="nil"/>
              <w:left w:val="nil"/>
              <w:bottom w:val="single" w:sz="8" w:space="0" w:color="BFBFBF"/>
              <w:right w:val="single" w:sz="8" w:space="0" w:color="BFBFBF"/>
            </w:tcBorders>
            <w:shd w:val="clear" w:color="FFFFFF" w:fill="FFFFFF"/>
            <w:noWrap/>
            <w:vAlign w:val="bottom"/>
            <w:hideMark/>
          </w:tcPr>
          <w:p w14:paraId="3F89A580" w14:textId="2132B0F7" w:rsidR="00C07CCB" w:rsidRPr="001F0712" w:rsidRDefault="000D56BE" w:rsidP="003C139D">
            <w:pPr>
              <w:spacing w:before="120" w:after="120"/>
              <w:contextualSpacing/>
              <w:jc w:val="center"/>
              <w:rPr>
                <w:rFonts w:ascii="Arial" w:hAnsi="Arial" w:cs="Arial"/>
                <w:sz w:val="20"/>
                <w:szCs w:val="20"/>
              </w:rPr>
            </w:pPr>
            <w:r w:rsidRPr="001F0712">
              <w:rPr>
                <w:rFonts w:ascii="Arial" w:hAnsi="Arial" w:cs="Arial"/>
                <w:sz w:val="20"/>
                <w:szCs w:val="20"/>
              </w:rPr>
              <w:t xml:space="preserve"> </w:t>
            </w:r>
            <w:r w:rsidR="00C07CCB" w:rsidRPr="001F0712">
              <w:rPr>
                <w:rFonts w:ascii="Arial" w:hAnsi="Arial" w:cs="Arial"/>
                <w:sz w:val="20"/>
                <w:szCs w:val="20"/>
              </w:rPr>
              <w:t xml:space="preserve">78,252 </w:t>
            </w:r>
          </w:p>
        </w:tc>
      </w:tr>
    </w:tbl>
    <w:p w14:paraId="557789A7" w14:textId="1968595C" w:rsidR="00C04A01" w:rsidRPr="001F0712" w:rsidRDefault="000611CB" w:rsidP="001F16C7">
      <w:pPr>
        <w:autoSpaceDE w:val="0"/>
        <w:autoSpaceDN w:val="0"/>
        <w:adjustRightInd w:val="0"/>
        <w:rPr>
          <w:rFonts w:ascii="Arial" w:hAnsi="Arial" w:cs="Arial"/>
          <w:color w:val="FF0000"/>
        </w:rPr>
      </w:pPr>
      <w:r w:rsidRPr="001F0712">
        <w:rPr>
          <w:rFonts w:ascii="Arial" w:hAnsi="Arial" w:cs="Arial"/>
          <w:noProof/>
          <w:color w:val="FF0000"/>
        </w:rPr>
        <mc:AlternateContent>
          <mc:Choice Requires="wps">
            <w:drawing>
              <wp:anchor distT="45720" distB="45720" distL="114300" distR="114300" simplePos="0" relativeHeight="251648512" behindDoc="0" locked="0" layoutInCell="1" allowOverlap="1" wp14:anchorId="23072585" wp14:editId="3E0783FF">
                <wp:simplePos x="0" y="0"/>
                <wp:positionH relativeFrom="column">
                  <wp:posOffset>369606</wp:posOffset>
                </wp:positionH>
                <wp:positionV relativeFrom="paragraph">
                  <wp:posOffset>122324</wp:posOffset>
                </wp:positionV>
                <wp:extent cx="2965390" cy="333375"/>
                <wp:effectExtent l="0" t="0" r="698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390" cy="333375"/>
                        </a:xfrm>
                        <a:prstGeom prst="rect">
                          <a:avLst/>
                        </a:prstGeom>
                        <a:solidFill>
                          <a:srgbClr val="FFFFFF"/>
                        </a:solidFill>
                        <a:ln w="9525">
                          <a:noFill/>
                          <a:miter lim="800000"/>
                          <a:headEnd/>
                          <a:tailEnd/>
                        </a:ln>
                      </wps:spPr>
                      <wps:txbx>
                        <w:txbxContent>
                          <w:p w14:paraId="748BAD96" w14:textId="3A51BCC6" w:rsidR="00240038" w:rsidRPr="00526755" w:rsidRDefault="000611CB">
                            <w:pPr>
                              <w:rPr>
                                <w:rFonts w:ascii="Arial" w:hAnsi="Arial" w:cs="Arial"/>
                                <w:b/>
                                <w:bCs/>
                                <w:color w:val="215E99" w:themeColor="text2" w:themeTint="BF"/>
                              </w:rPr>
                            </w:pPr>
                            <w:r w:rsidRPr="00526755">
                              <w:rPr>
                                <w:rFonts w:ascii="Arial" w:hAnsi="Arial" w:cs="Arial"/>
                                <w:b/>
                                <w:bCs/>
                                <w:color w:val="215E99" w:themeColor="text2" w:themeTint="BF"/>
                              </w:rPr>
                              <w:t>Note:</w:t>
                            </w:r>
                            <w:r w:rsidR="00BF3433" w:rsidRPr="00526755">
                              <w:rPr>
                                <w:rFonts w:ascii="Arial" w:hAnsi="Arial" w:cs="Arial"/>
                                <w:b/>
                                <w:bCs/>
                                <w:color w:val="215E99" w:themeColor="text2" w:themeTint="BF"/>
                              </w:rPr>
                              <w:t xml:space="preserve"> 2025/26 pay award </w:t>
                            </w:r>
                            <w:r w:rsidR="00C975B7" w:rsidRPr="00526755">
                              <w:rPr>
                                <w:rFonts w:ascii="Arial" w:hAnsi="Arial" w:cs="Arial"/>
                                <w:b/>
                                <w:bCs/>
                                <w:color w:val="215E99" w:themeColor="text2" w:themeTint="BF"/>
                              </w:rPr>
                              <w:t xml:space="preserve">are </w:t>
                            </w:r>
                            <w:r w:rsidR="00BF3433" w:rsidRPr="00526755">
                              <w:rPr>
                                <w:rFonts w:ascii="Arial" w:hAnsi="Arial" w:cs="Arial"/>
                                <w:b/>
                                <w:bCs/>
                                <w:color w:val="215E99" w:themeColor="text2" w:themeTint="BF"/>
                              </w:rPr>
                              <w:t>pending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72585" id="_x0000_t202" coordsize="21600,21600" o:spt="202" path="m,l,21600r21600,l21600,xe">
                <v:stroke joinstyle="miter"/>
                <v:path gradientshapeok="t" o:connecttype="rect"/>
              </v:shapetype>
              <v:shape id="Text Box 2" o:spid="_x0000_s1026" type="#_x0000_t202" style="position:absolute;margin-left:29.1pt;margin-top:9.65pt;width:233.5pt;height:26.2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" stroked="f">
                <v:textbox>
                  <w:txbxContent>
                    <w:p w14:paraId="748BAD96" w14:textId="3A51BCC6" w:rsidR="00240038" w:rsidRPr="00526755" w:rsidRDefault="000611CB">
                      <w:pPr>
                        <w:rPr>
                          <w:rFonts w:ascii="Arial" w:hAnsi="Arial" w:cs="Arial"/>
                          <w:b/>
                          <w:bCs/>
                          <w:color w:val="215E99" w:themeColor="text2" w:themeTint="BF"/>
                        </w:rPr>
                      </w:pPr>
                      <w:r w:rsidRPr="00526755">
                        <w:rPr>
                          <w:rFonts w:ascii="Arial" w:hAnsi="Arial" w:cs="Arial"/>
                          <w:b/>
                          <w:bCs/>
                          <w:color w:val="215E99" w:themeColor="text2" w:themeTint="BF"/>
                        </w:rPr>
                        <w:t>Note:</w:t>
                      </w:r>
                      <w:r w:rsidR="00BF3433" w:rsidRPr="00526755">
                        <w:rPr>
                          <w:rFonts w:ascii="Arial" w:hAnsi="Arial" w:cs="Arial"/>
                          <w:b/>
                          <w:bCs/>
                          <w:color w:val="215E99" w:themeColor="text2" w:themeTint="BF"/>
                        </w:rPr>
                        <w:t xml:space="preserve"> 2025/26 pay award </w:t>
                      </w:r>
                      <w:r w:rsidR="00C975B7" w:rsidRPr="00526755">
                        <w:rPr>
                          <w:rFonts w:ascii="Arial" w:hAnsi="Arial" w:cs="Arial"/>
                          <w:b/>
                          <w:bCs/>
                          <w:color w:val="215E99" w:themeColor="text2" w:themeTint="BF"/>
                        </w:rPr>
                        <w:t xml:space="preserve">are </w:t>
                      </w:r>
                      <w:r w:rsidR="00BF3433" w:rsidRPr="00526755">
                        <w:rPr>
                          <w:rFonts w:ascii="Arial" w:hAnsi="Arial" w:cs="Arial"/>
                          <w:b/>
                          <w:bCs/>
                          <w:color w:val="215E99" w:themeColor="text2" w:themeTint="BF"/>
                        </w:rPr>
                        <w:t>pending</w:t>
                      </w:r>
                    </w:p>
                  </w:txbxContent>
                </v:textbox>
              </v:shape>
            </w:pict>
          </mc:Fallback>
        </mc:AlternateContent>
      </w:r>
    </w:p>
    <w:p w14:paraId="31987B46" w14:textId="2F7CCAF1" w:rsidR="00F76781" w:rsidRPr="00C57621" w:rsidRDefault="00F76781" w:rsidP="00C57621">
      <w:pPr>
        <w:pStyle w:val="Heading1"/>
        <w:rPr>
          <w:sz w:val="32"/>
          <w:szCs w:val="24"/>
        </w:rPr>
      </w:pPr>
      <w:bookmarkStart w:id="22" w:name="_Toc194319285"/>
      <w:r w:rsidRPr="00C57621">
        <w:rPr>
          <w:sz w:val="32"/>
          <w:szCs w:val="24"/>
        </w:rPr>
        <w:lastRenderedPageBreak/>
        <w:t>Annex 2: Grey Book pay from 1 July 2024</w:t>
      </w:r>
      <w:bookmarkEnd w:id="22"/>
    </w:p>
    <w:p w14:paraId="41BE08E4" w14:textId="7B86FF02" w:rsidR="00F76781" w:rsidRPr="001F0712" w:rsidRDefault="00F76781" w:rsidP="00F76781">
      <w:pPr>
        <w:autoSpaceDE w:val="0"/>
        <w:autoSpaceDN w:val="0"/>
        <w:adjustRightInd w:val="0"/>
        <w:rPr>
          <w:rFonts w:ascii="Arial" w:hAnsi="Arial" w:cs="Arial"/>
          <w:color w:val="FF0000"/>
          <w:sz w:val="14"/>
          <w:szCs w:val="14"/>
        </w:rPr>
      </w:pPr>
    </w:p>
    <w:tbl>
      <w:tblPr>
        <w:tblW w:w="9021" w:type="dxa"/>
        <w:tblLook w:val="04A0" w:firstRow="1" w:lastRow="0" w:firstColumn="1" w:lastColumn="0" w:noHBand="0" w:noVBand="1"/>
      </w:tblPr>
      <w:tblGrid>
        <w:gridCol w:w="3251"/>
        <w:gridCol w:w="1134"/>
        <w:gridCol w:w="1275"/>
        <w:gridCol w:w="1295"/>
        <w:gridCol w:w="1000"/>
        <w:gridCol w:w="1054"/>
        <w:gridCol w:w="12"/>
      </w:tblGrid>
      <w:tr w:rsidR="00024F58" w:rsidRPr="001F0712" w14:paraId="31A7744F" w14:textId="77777777" w:rsidTr="00DC7F29">
        <w:trPr>
          <w:gridAfter w:val="1"/>
          <w:wAfter w:w="12" w:type="dxa"/>
          <w:trHeight w:val="60"/>
        </w:trPr>
        <w:tc>
          <w:tcPr>
            <w:tcW w:w="3251" w:type="dxa"/>
            <w:tcBorders>
              <w:top w:val="single" w:sz="8" w:space="0" w:color="BFBFBF"/>
              <w:left w:val="single" w:sz="8" w:space="0" w:color="BFBFBF"/>
              <w:bottom w:val="single" w:sz="8" w:space="0" w:color="BFBFBF"/>
              <w:right w:val="single" w:sz="8" w:space="0" w:color="BFBFBF"/>
            </w:tcBorders>
            <w:shd w:val="clear" w:color="000000" w:fill="FFFFFF"/>
            <w:vAlign w:val="center"/>
            <w:hideMark/>
          </w:tcPr>
          <w:p w14:paraId="3267F237" w14:textId="77777777" w:rsidR="00F76781" w:rsidRPr="001F0712" w:rsidRDefault="00F76781" w:rsidP="00CE33E6">
            <w:pPr>
              <w:spacing w:before="120" w:after="120"/>
              <w:contextualSpacing/>
              <w:rPr>
                <w:rFonts w:ascii="Arial" w:hAnsi="Arial" w:cs="Arial"/>
                <w:b/>
                <w:bCs/>
                <w:color w:val="000000"/>
                <w:sz w:val="20"/>
                <w:szCs w:val="20"/>
              </w:rPr>
            </w:pPr>
            <w:r w:rsidRPr="001F0712">
              <w:rPr>
                <w:rFonts w:ascii="Arial" w:hAnsi="Arial" w:cs="Arial"/>
                <w:b/>
                <w:bCs/>
                <w:color w:val="000000"/>
                <w:sz w:val="20"/>
                <w:szCs w:val="20"/>
              </w:rPr>
              <w:t> Grade</w:t>
            </w:r>
          </w:p>
        </w:tc>
        <w:tc>
          <w:tcPr>
            <w:tcW w:w="1134" w:type="dxa"/>
            <w:tcBorders>
              <w:top w:val="single" w:sz="8" w:space="0" w:color="BFBFBF"/>
              <w:left w:val="nil"/>
              <w:bottom w:val="single" w:sz="8" w:space="0" w:color="BFBFBF"/>
              <w:right w:val="single" w:sz="8" w:space="0" w:color="BFBFBF"/>
            </w:tcBorders>
            <w:shd w:val="clear" w:color="000000" w:fill="FFFFFF"/>
            <w:vAlign w:val="center"/>
            <w:hideMark/>
          </w:tcPr>
          <w:p w14:paraId="58C3E439" w14:textId="42EA7963" w:rsidR="00F76781" w:rsidRPr="001F0712" w:rsidRDefault="00D07641" w:rsidP="00CE33E6">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Pay scale</w:t>
            </w:r>
          </w:p>
        </w:tc>
        <w:tc>
          <w:tcPr>
            <w:tcW w:w="1275" w:type="dxa"/>
            <w:tcBorders>
              <w:top w:val="single" w:sz="8" w:space="0" w:color="BFBFBF"/>
              <w:left w:val="nil"/>
              <w:bottom w:val="single" w:sz="8" w:space="0" w:color="BFBFBF"/>
              <w:right w:val="single" w:sz="8" w:space="0" w:color="BFBFBF"/>
            </w:tcBorders>
            <w:shd w:val="clear" w:color="000000" w:fill="FFFFFF"/>
            <w:vAlign w:val="center"/>
            <w:hideMark/>
          </w:tcPr>
          <w:p w14:paraId="6E173A0B" w14:textId="737A5D39" w:rsidR="00F76781" w:rsidRPr="001F0712" w:rsidRDefault="00F76781" w:rsidP="00CE33E6">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 xml:space="preserve">Salary from 1 </w:t>
            </w:r>
            <w:r w:rsidR="00024F58" w:rsidRPr="001F0712">
              <w:rPr>
                <w:rFonts w:ascii="Arial" w:hAnsi="Arial" w:cs="Arial"/>
                <w:b/>
                <w:bCs/>
                <w:color w:val="000000"/>
                <w:sz w:val="20"/>
                <w:szCs w:val="20"/>
              </w:rPr>
              <w:t>July</w:t>
            </w:r>
            <w:r w:rsidRPr="001F0712">
              <w:rPr>
                <w:rFonts w:ascii="Arial" w:hAnsi="Arial" w:cs="Arial"/>
                <w:b/>
                <w:bCs/>
                <w:color w:val="000000"/>
                <w:sz w:val="20"/>
                <w:szCs w:val="20"/>
              </w:rPr>
              <w:t xml:space="preserve"> 2024</w:t>
            </w:r>
            <w:r w:rsidRPr="001F0712">
              <w:rPr>
                <w:rFonts w:ascii="Arial" w:hAnsi="Arial" w:cs="Arial"/>
                <w:b/>
                <w:bCs/>
                <w:color w:val="0070C0"/>
                <w:sz w:val="20"/>
                <w:szCs w:val="20"/>
              </w:rPr>
              <w:t>*</w:t>
            </w:r>
          </w:p>
        </w:tc>
        <w:tc>
          <w:tcPr>
            <w:tcW w:w="1295" w:type="dxa"/>
            <w:tcBorders>
              <w:top w:val="single" w:sz="8" w:space="0" w:color="BFBFBF"/>
              <w:left w:val="nil"/>
              <w:bottom w:val="single" w:sz="8" w:space="0" w:color="BFBFBF"/>
              <w:right w:val="single" w:sz="8" w:space="0" w:color="BFBFBF"/>
            </w:tcBorders>
            <w:shd w:val="clear" w:color="FFFFFF" w:fill="FFFFFF"/>
            <w:noWrap/>
            <w:vAlign w:val="center"/>
            <w:hideMark/>
          </w:tcPr>
          <w:p w14:paraId="0C1AA1F3" w14:textId="77777777" w:rsidR="00F76781" w:rsidRPr="001F0712" w:rsidRDefault="00F76781" w:rsidP="00CE33E6">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Employer’s National Insurance</w:t>
            </w:r>
          </w:p>
        </w:tc>
        <w:tc>
          <w:tcPr>
            <w:tcW w:w="1000" w:type="dxa"/>
            <w:tcBorders>
              <w:top w:val="single" w:sz="8" w:space="0" w:color="BFBFBF"/>
              <w:left w:val="nil"/>
              <w:bottom w:val="single" w:sz="8" w:space="0" w:color="BFBFBF"/>
              <w:right w:val="single" w:sz="8" w:space="0" w:color="BFBFBF"/>
            </w:tcBorders>
            <w:shd w:val="clear" w:color="FFFFFF" w:fill="FFFFFF"/>
            <w:noWrap/>
            <w:vAlign w:val="center"/>
            <w:hideMark/>
          </w:tcPr>
          <w:p w14:paraId="74C394C2" w14:textId="77777777" w:rsidR="00F76781" w:rsidRPr="001F0712" w:rsidRDefault="00F76781" w:rsidP="00CE33E6">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Pension</w:t>
            </w:r>
          </w:p>
        </w:tc>
        <w:tc>
          <w:tcPr>
            <w:tcW w:w="1054" w:type="dxa"/>
            <w:tcBorders>
              <w:top w:val="single" w:sz="8" w:space="0" w:color="BFBFBF"/>
              <w:left w:val="nil"/>
              <w:bottom w:val="single" w:sz="8" w:space="0" w:color="BFBFBF"/>
              <w:right w:val="single" w:sz="8" w:space="0" w:color="BFBFBF"/>
            </w:tcBorders>
            <w:shd w:val="clear" w:color="FFFFFF" w:fill="FFFFFF"/>
            <w:noWrap/>
            <w:vAlign w:val="center"/>
            <w:hideMark/>
          </w:tcPr>
          <w:p w14:paraId="0E2EBA22" w14:textId="77777777" w:rsidR="00F76781" w:rsidRPr="001F0712" w:rsidRDefault="00F76781" w:rsidP="00CE33E6">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TOTAL</w:t>
            </w:r>
          </w:p>
        </w:tc>
      </w:tr>
      <w:tr w:rsidR="00DC7F29" w:rsidRPr="001F0712" w14:paraId="72DF10C8" w14:textId="77777777" w:rsidTr="00DC7F29">
        <w:trPr>
          <w:trHeight w:val="60"/>
        </w:trPr>
        <w:tc>
          <w:tcPr>
            <w:tcW w:w="9021" w:type="dxa"/>
            <w:gridSpan w:val="7"/>
            <w:tcBorders>
              <w:top w:val="single" w:sz="8" w:space="0" w:color="BFBFBF"/>
              <w:left w:val="single" w:sz="8" w:space="0" w:color="BFBFBF"/>
              <w:bottom w:val="single" w:sz="8" w:space="0" w:color="BFBFBF"/>
              <w:right w:val="single" w:sz="8" w:space="0" w:color="BFBFBF"/>
            </w:tcBorders>
            <w:shd w:val="clear" w:color="000000" w:fill="FFFFFF"/>
            <w:vAlign w:val="center"/>
          </w:tcPr>
          <w:p w14:paraId="7BBBE8CE" w14:textId="40B1DB36" w:rsidR="00192DE9" w:rsidRPr="00BF3AE8" w:rsidRDefault="00192DE9" w:rsidP="0091233B">
            <w:pPr>
              <w:spacing w:before="120" w:after="120"/>
              <w:contextualSpacing/>
              <w:rPr>
                <w:rFonts w:ascii="Arial" w:hAnsi="Arial" w:cs="Arial"/>
                <w:b/>
                <w:bCs/>
                <w:color w:val="215E99" w:themeColor="text2" w:themeTint="BF"/>
                <w:sz w:val="20"/>
                <w:szCs w:val="20"/>
              </w:rPr>
            </w:pPr>
            <w:r w:rsidRPr="00BF3AE8">
              <w:rPr>
                <w:rFonts w:ascii="Arial" w:hAnsi="Arial" w:cs="Arial"/>
                <w:b/>
                <w:bCs/>
                <w:color w:val="215E99" w:themeColor="text2" w:themeTint="BF"/>
                <w:sz w:val="20"/>
                <w:szCs w:val="20"/>
              </w:rPr>
              <w:t>Op</w:t>
            </w:r>
            <w:r w:rsidR="0091233B" w:rsidRPr="00BF3AE8">
              <w:rPr>
                <w:rFonts w:ascii="Arial" w:hAnsi="Arial" w:cs="Arial"/>
                <w:b/>
                <w:bCs/>
                <w:color w:val="215E99" w:themeColor="text2" w:themeTint="BF"/>
                <w:sz w:val="20"/>
                <w:szCs w:val="20"/>
              </w:rPr>
              <w:t>erational staff</w:t>
            </w:r>
          </w:p>
        </w:tc>
      </w:tr>
      <w:tr w:rsidR="004B6634" w:rsidRPr="001F0712" w14:paraId="2E3248DE" w14:textId="77777777" w:rsidTr="00DC7F29">
        <w:trPr>
          <w:gridAfter w:val="1"/>
          <w:wAfter w:w="12" w:type="dxa"/>
          <w:trHeight w:val="143"/>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0C54605D" w14:textId="28CE6427" w:rsidR="003B60C8" w:rsidRPr="001F0712" w:rsidRDefault="003B60C8" w:rsidP="003B60C8">
            <w:pPr>
              <w:spacing w:before="120" w:after="120"/>
              <w:contextualSpacing/>
              <w:rPr>
                <w:rFonts w:ascii="Arial" w:hAnsi="Arial" w:cs="Arial"/>
                <w:sz w:val="20"/>
                <w:szCs w:val="20"/>
              </w:rPr>
            </w:pPr>
            <w:r w:rsidRPr="001F0712">
              <w:rPr>
                <w:rFonts w:ascii="Arial" w:hAnsi="Arial" w:cs="Arial"/>
                <w:sz w:val="20"/>
                <w:szCs w:val="20"/>
              </w:rPr>
              <w:t>F</w:t>
            </w:r>
            <w:r w:rsidR="00C940AA">
              <w:rPr>
                <w:rFonts w:ascii="Arial" w:hAnsi="Arial" w:cs="Arial"/>
                <w:sz w:val="20"/>
                <w:szCs w:val="20"/>
              </w:rPr>
              <w:t>irefighter</w:t>
            </w:r>
            <w:r w:rsidRPr="001F0712">
              <w:rPr>
                <w:rFonts w:ascii="Arial" w:hAnsi="Arial" w:cs="Arial"/>
                <w:sz w:val="20"/>
                <w:szCs w:val="20"/>
              </w:rPr>
              <w:t xml:space="preserve"> </w:t>
            </w:r>
            <w:r w:rsidR="00D11F31">
              <w:rPr>
                <w:rFonts w:ascii="Arial" w:hAnsi="Arial" w:cs="Arial"/>
                <w:sz w:val="20"/>
                <w:szCs w:val="20"/>
              </w:rPr>
              <w:t>(t</w:t>
            </w:r>
            <w:r w:rsidRPr="001F0712">
              <w:rPr>
                <w:rFonts w:ascii="Arial" w:hAnsi="Arial" w:cs="Arial"/>
                <w:sz w:val="20"/>
                <w:szCs w:val="20"/>
              </w:rPr>
              <w:t>rainee</w:t>
            </w:r>
            <w:r w:rsidR="00D11F31">
              <w:rPr>
                <w:rFonts w:ascii="Arial" w:hAnsi="Arial" w:cs="Arial"/>
                <w:sz w:val="20"/>
                <w:szCs w:val="20"/>
              </w:rPr>
              <w:t>)</w:t>
            </w:r>
          </w:p>
        </w:tc>
        <w:tc>
          <w:tcPr>
            <w:tcW w:w="1134" w:type="dxa"/>
            <w:tcBorders>
              <w:top w:val="nil"/>
              <w:left w:val="nil"/>
              <w:bottom w:val="single" w:sz="8" w:space="0" w:color="BFBFBF"/>
              <w:right w:val="single" w:sz="8" w:space="0" w:color="BFBFBF"/>
            </w:tcBorders>
            <w:shd w:val="clear" w:color="000000" w:fill="FFFFFF"/>
            <w:noWrap/>
            <w:vAlign w:val="bottom"/>
          </w:tcPr>
          <w:p w14:paraId="1C01751A" w14:textId="4CE90B68"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FF-TR 01</w:t>
            </w:r>
          </w:p>
        </w:tc>
        <w:tc>
          <w:tcPr>
            <w:tcW w:w="1275" w:type="dxa"/>
            <w:tcBorders>
              <w:top w:val="nil"/>
              <w:left w:val="nil"/>
              <w:bottom w:val="single" w:sz="8" w:space="0" w:color="BFBFBF"/>
              <w:right w:val="single" w:sz="8" w:space="0" w:color="BFBFBF"/>
            </w:tcBorders>
            <w:shd w:val="clear" w:color="000000" w:fill="FFFFFF"/>
            <w:noWrap/>
            <w:vAlign w:val="bottom"/>
          </w:tcPr>
          <w:p w14:paraId="7EF62B73" w14:textId="2429D5E9"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 xml:space="preserve">     28,265 </w:t>
            </w:r>
          </w:p>
        </w:tc>
        <w:tc>
          <w:tcPr>
            <w:tcW w:w="1295" w:type="dxa"/>
            <w:tcBorders>
              <w:top w:val="nil"/>
              <w:left w:val="nil"/>
              <w:bottom w:val="single" w:sz="8" w:space="0" w:color="BFBFBF"/>
              <w:right w:val="single" w:sz="8" w:space="0" w:color="BFBFBF"/>
            </w:tcBorders>
            <w:shd w:val="clear" w:color="000000" w:fill="FFFFFF"/>
            <w:noWrap/>
            <w:vAlign w:val="bottom"/>
          </w:tcPr>
          <w:p w14:paraId="44EDE625" w14:textId="740022C9"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3,490 </w:t>
            </w:r>
          </w:p>
        </w:tc>
        <w:tc>
          <w:tcPr>
            <w:tcW w:w="1000" w:type="dxa"/>
            <w:tcBorders>
              <w:top w:val="nil"/>
              <w:left w:val="nil"/>
              <w:bottom w:val="single" w:sz="8" w:space="0" w:color="BFBFBF"/>
              <w:right w:val="single" w:sz="8" w:space="0" w:color="BFBFBF"/>
            </w:tcBorders>
            <w:shd w:val="clear" w:color="000000" w:fill="FFFFFF"/>
            <w:noWrap/>
            <w:vAlign w:val="bottom"/>
          </w:tcPr>
          <w:p w14:paraId="75A2ED95" w14:textId="0483EA26"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10,628 </w:t>
            </w:r>
          </w:p>
        </w:tc>
        <w:tc>
          <w:tcPr>
            <w:tcW w:w="1054" w:type="dxa"/>
            <w:tcBorders>
              <w:top w:val="nil"/>
              <w:left w:val="nil"/>
              <w:bottom w:val="single" w:sz="8" w:space="0" w:color="BFBFBF"/>
              <w:right w:val="single" w:sz="8" w:space="0" w:color="BFBFBF"/>
            </w:tcBorders>
            <w:shd w:val="clear" w:color="000000" w:fill="FFFFFF"/>
            <w:noWrap/>
            <w:vAlign w:val="bottom"/>
          </w:tcPr>
          <w:p w14:paraId="06816CA9" w14:textId="345125F9"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42,383 </w:t>
            </w:r>
          </w:p>
        </w:tc>
      </w:tr>
      <w:tr w:rsidR="004B6634" w:rsidRPr="001F0712" w14:paraId="4218848C" w14:textId="77777777" w:rsidTr="00DC7F29">
        <w:trPr>
          <w:gridAfter w:val="1"/>
          <w:wAfter w:w="12" w:type="dxa"/>
          <w:trHeight w:val="175"/>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5A222C56" w14:textId="4C817DFA" w:rsidR="003B60C8" w:rsidRPr="001F0712" w:rsidRDefault="00C940AA" w:rsidP="003B60C8">
            <w:pPr>
              <w:spacing w:before="120" w:after="120"/>
              <w:contextualSpacing/>
              <w:rPr>
                <w:rFonts w:ascii="Arial" w:hAnsi="Arial" w:cs="Arial"/>
                <w:sz w:val="20"/>
                <w:szCs w:val="20"/>
              </w:rPr>
            </w:pPr>
            <w:r w:rsidRPr="001F0712">
              <w:rPr>
                <w:rFonts w:ascii="Arial" w:hAnsi="Arial" w:cs="Arial"/>
                <w:sz w:val="20"/>
                <w:szCs w:val="20"/>
              </w:rPr>
              <w:t>F</w:t>
            </w:r>
            <w:r>
              <w:rPr>
                <w:rFonts w:ascii="Arial" w:hAnsi="Arial" w:cs="Arial"/>
                <w:sz w:val="20"/>
                <w:szCs w:val="20"/>
              </w:rPr>
              <w:t xml:space="preserve">irefighter </w:t>
            </w:r>
            <w:r w:rsidR="00D11F31">
              <w:rPr>
                <w:rFonts w:ascii="Arial" w:hAnsi="Arial" w:cs="Arial"/>
                <w:sz w:val="20"/>
                <w:szCs w:val="20"/>
              </w:rPr>
              <w:t>(d</w:t>
            </w:r>
            <w:r w:rsidR="003B60C8" w:rsidRPr="001F0712">
              <w:rPr>
                <w:rFonts w:ascii="Arial" w:hAnsi="Arial" w:cs="Arial"/>
                <w:sz w:val="20"/>
                <w:szCs w:val="20"/>
              </w:rPr>
              <w:t>ev</w:t>
            </w:r>
            <w:r w:rsidR="00D11F31">
              <w:rPr>
                <w:rFonts w:ascii="Arial" w:hAnsi="Arial" w:cs="Arial"/>
                <w:sz w:val="20"/>
                <w:szCs w:val="20"/>
              </w:rPr>
              <w:t>elopment)</w:t>
            </w:r>
          </w:p>
        </w:tc>
        <w:tc>
          <w:tcPr>
            <w:tcW w:w="1134" w:type="dxa"/>
            <w:tcBorders>
              <w:top w:val="nil"/>
              <w:left w:val="nil"/>
              <w:bottom w:val="single" w:sz="8" w:space="0" w:color="BFBFBF"/>
              <w:right w:val="single" w:sz="8" w:space="0" w:color="BFBFBF"/>
            </w:tcBorders>
            <w:shd w:val="clear" w:color="000000" w:fill="FFFFFF"/>
            <w:noWrap/>
            <w:vAlign w:val="bottom"/>
          </w:tcPr>
          <w:p w14:paraId="6C0BC837" w14:textId="5198B9E7"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FF 1</w:t>
            </w:r>
          </w:p>
        </w:tc>
        <w:tc>
          <w:tcPr>
            <w:tcW w:w="1275" w:type="dxa"/>
            <w:tcBorders>
              <w:top w:val="nil"/>
              <w:left w:val="nil"/>
              <w:bottom w:val="single" w:sz="8" w:space="0" w:color="BFBFBF"/>
              <w:right w:val="single" w:sz="8" w:space="0" w:color="BFBFBF"/>
            </w:tcBorders>
            <w:shd w:val="clear" w:color="000000" w:fill="FFFFFF"/>
            <w:noWrap/>
            <w:vAlign w:val="bottom"/>
          </w:tcPr>
          <w:p w14:paraId="1B0CD22E" w14:textId="44435C60"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 xml:space="preserve">     29,442 </w:t>
            </w:r>
          </w:p>
        </w:tc>
        <w:tc>
          <w:tcPr>
            <w:tcW w:w="1295" w:type="dxa"/>
            <w:tcBorders>
              <w:top w:val="nil"/>
              <w:left w:val="nil"/>
              <w:bottom w:val="single" w:sz="8" w:space="0" w:color="BFBFBF"/>
              <w:right w:val="single" w:sz="8" w:space="0" w:color="BFBFBF"/>
            </w:tcBorders>
            <w:shd w:val="clear" w:color="FFFFFF" w:fill="FFFFFF"/>
            <w:noWrap/>
            <w:vAlign w:val="bottom"/>
          </w:tcPr>
          <w:p w14:paraId="55E7ED46" w14:textId="673BA351"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3,666 </w:t>
            </w:r>
          </w:p>
        </w:tc>
        <w:tc>
          <w:tcPr>
            <w:tcW w:w="1000" w:type="dxa"/>
            <w:tcBorders>
              <w:top w:val="nil"/>
              <w:left w:val="nil"/>
              <w:bottom w:val="single" w:sz="8" w:space="0" w:color="BFBFBF"/>
              <w:right w:val="single" w:sz="8" w:space="0" w:color="BFBFBF"/>
            </w:tcBorders>
            <w:shd w:val="clear" w:color="FFFFFF" w:fill="FFFFFF"/>
            <w:noWrap/>
            <w:vAlign w:val="bottom"/>
          </w:tcPr>
          <w:p w14:paraId="3D8689F8" w14:textId="2EFC9F25"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11,070 </w:t>
            </w:r>
          </w:p>
        </w:tc>
        <w:tc>
          <w:tcPr>
            <w:tcW w:w="1054" w:type="dxa"/>
            <w:tcBorders>
              <w:top w:val="nil"/>
              <w:left w:val="nil"/>
              <w:bottom w:val="single" w:sz="8" w:space="0" w:color="BFBFBF"/>
              <w:right w:val="single" w:sz="8" w:space="0" w:color="BFBFBF"/>
            </w:tcBorders>
            <w:shd w:val="clear" w:color="FFFFFF" w:fill="FFFFFF"/>
            <w:noWrap/>
            <w:vAlign w:val="bottom"/>
          </w:tcPr>
          <w:p w14:paraId="6D67CC61" w14:textId="118F642E"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44,178 </w:t>
            </w:r>
          </w:p>
        </w:tc>
      </w:tr>
      <w:tr w:rsidR="004B6634" w:rsidRPr="001F0712" w14:paraId="7DEE65A2" w14:textId="77777777" w:rsidTr="00DC7F29">
        <w:trPr>
          <w:gridAfter w:val="1"/>
          <w:wAfter w:w="12" w:type="dxa"/>
          <w:trHeight w:val="65"/>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41A1CA7F" w14:textId="6289B4A5" w:rsidR="003B60C8" w:rsidRPr="001F0712" w:rsidRDefault="00C940AA" w:rsidP="003B60C8">
            <w:pPr>
              <w:spacing w:before="120" w:after="120"/>
              <w:contextualSpacing/>
              <w:rPr>
                <w:rFonts w:ascii="Arial" w:hAnsi="Arial" w:cs="Arial"/>
                <w:sz w:val="20"/>
                <w:szCs w:val="20"/>
              </w:rPr>
            </w:pPr>
            <w:r w:rsidRPr="001F0712">
              <w:rPr>
                <w:rFonts w:ascii="Arial" w:hAnsi="Arial" w:cs="Arial"/>
                <w:sz w:val="20"/>
                <w:szCs w:val="20"/>
              </w:rPr>
              <w:t>F</w:t>
            </w:r>
            <w:r>
              <w:rPr>
                <w:rFonts w:ascii="Arial" w:hAnsi="Arial" w:cs="Arial"/>
                <w:sz w:val="20"/>
                <w:szCs w:val="20"/>
              </w:rPr>
              <w:t>irefighter</w:t>
            </w:r>
            <w:r w:rsidRPr="001F0712">
              <w:rPr>
                <w:rFonts w:ascii="Arial" w:hAnsi="Arial" w:cs="Arial"/>
                <w:sz w:val="20"/>
                <w:szCs w:val="20"/>
              </w:rPr>
              <w:t xml:space="preserve"> </w:t>
            </w:r>
            <w:r w:rsidR="003B60C8" w:rsidRPr="001F0712">
              <w:rPr>
                <w:rFonts w:ascii="Arial" w:hAnsi="Arial" w:cs="Arial"/>
                <w:sz w:val="20"/>
                <w:szCs w:val="20"/>
              </w:rPr>
              <w:t>(comp</w:t>
            </w:r>
            <w:r w:rsidR="00D11F31">
              <w:rPr>
                <w:rFonts w:ascii="Arial" w:hAnsi="Arial" w:cs="Arial"/>
                <w:sz w:val="20"/>
                <w:szCs w:val="20"/>
              </w:rPr>
              <w:t>etent</w:t>
            </w:r>
            <w:r w:rsidR="003B60C8" w:rsidRPr="001F0712">
              <w:rPr>
                <w:rFonts w:ascii="Arial" w:hAnsi="Arial" w:cs="Arial"/>
                <w:sz w:val="20"/>
                <w:szCs w:val="20"/>
              </w:rPr>
              <w:t>)</w:t>
            </w:r>
          </w:p>
        </w:tc>
        <w:tc>
          <w:tcPr>
            <w:tcW w:w="1134" w:type="dxa"/>
            <w:tcBorders>
              <w:top w:val="nil"/>
              <w:left w:val="nil"/>
              <w:bottom w:val="single" w:sz="8" w:space="0" w:color="BFBFBF"/>
              <w:right w:val="single" w:sz="8" w:space="0" w:color="BFBFBF"/>
            </w:tcBorders>
            <w:shd w:val="clear" w:color="000000" w:fill="FFFFFF"/>
            <w:noWrap/>
            <w:vAlign w:val="bottom"/>
          </w:tcPr>
          <w:p w14:paraId="76E24998" w14:textId="2BE6561E"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FF 2</w:t>
            </w:r>
          </w:p>
        </w:tc>
        <w:tc>
          <w:tcPr>
            <w:tcW w:w="1275" w:type="dxa"/>
            <w:tcBorders>
              <w:top w:val="nil"/>
              <w:left w:val="nil"/>
              <w:bottom w:val="single" w:sz="8" w:space="0" w:color="BFBFBF"/>
              <w:right w:val="single" w:sz="8" w:space="0" w:color="BFBFBF"/>
            </w:tcBorders>
            <w:shd w:val="clear" w:color="000000" w:fill="FFFFFF"/>
            <w:noWrap/>
            <w:vAlign w:val="bottom"/>
          </w:tcPr>
          <w:p w14:paraId="622E35CA" w14:textId="75F54F76"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 xml:space="preserve">     37,675 </w:t>
            </w:r>
          </w:p>
        </w:tc>
        <w:tc>
          <w:tcPr>
            <w:tcW w:w="1295" w:type="dxa"/>
            <w:tcBorders>
              <w:top w:val="nil"/>
              <w:left w:val="nil"/>
              <w:bottom w:val="single" w:sz="8" w:space="0" w:color="BFBFBF"/>
              <w:right w:val="single" w:sz="8" w:space="0" w:color="BFBFBF"/>
            </w:tcBorders>
            <w:shd w:val="clear" w:color="000000" w:fill="FFFFFF"/>
            <w:noWrap/>
            <w:vAlign w:val="bottom"/>
          </w:tcPr>
          <w:p w14:paraId="21D2840A" w14:textId="5EF6576E"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4,901 </w:t>
            </w:r>
          </w:p>
        </w:tc>
        <w:tc>
          <w:tcPr>
            <w:tcW w:w="1000" w:type="dxa"/>
            <w:tcBorders>
              <w:top w:val="nil"/>
              <w:left w:val="nil"/>
              <w:bottom w:val="single" w:sz="8" w:space="0" w:color="BFBFBF"/>
              <w:right w:val="single" w:sz="8" w:space="0" w:color="BFBFBF"/>
            </w:tcBorders>
            <w:shd w:val="clear" w:color="000000" w:fill="FFFFFF"/>
            <w:noWrap/>
            <w:vAlign w:val="bottom"/>
          </w:tcPr>
          <w:p w14:paraId="24203E90" w14:textId="2DCE99E3"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14,166 </w:t>
            </w:r>
          </w:p>
        </w:tc>
        <w:tc>
          <w:tcPr>
            <w:tcW w:w="1054" w:type="dxa"/>
            <w:tcBorders>
              <w:top w:val="nil"/>
              <w:left w:val="nil"/>
              <w:bottom w:val="single" w:sz="8" w:space="0" w:color="BFBFBF"/>
              <w:right w:val="single" w:sz="8" w:space="0" w:color="BFBFBF"/>
            </w:tcBorders>
            <w:shd w:val="clear" w:color="000000" w:fill="FFFFFF"/>
            <w:noWrap/>
            <w:vAlign w:val="bottom"/>
          </w:tcPr>
          <w:p w14:paraId="040CE65E" w14:textId="24A2A2E2"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56,742 </w:t>
            </w:r>
          </w:p>
        </w:tc>
      </w:tr>
      <w:tr w:rsidR="004B6634" w:rsidRPr="001F0712" w14:paraId="4861510F" w14:textId="77777777" w:rsidTr="00DC7F29">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3DBDEE9D" w14:textId="34889F26" w:rsidR="003B60C8" w:rsidRPr="001F0712" w:rsidRDefault="003B60C8" w:rsidP="003B60C8">
            <w:pPr>
              <w:spacing w:before="120" w:after="120"/>
              <w:contextualSpacing/>
              <w:rPr>
                <w:rFonts w:ascii="Arial" w:hAnsi="Arial" w:cs="Arial"/>
                <w:sz w:val="20"/>
                <w:szCs w:val="20"/>
              </w:rPr>
            </w:pPr>
            <w:r w:rsidRPr="001F0712">
              <w:rPr>
                <w:rFonts w:ascii="Arial" w:hAnsi="Arial" w:cs="Arial"/>
                <w:sz w:val="20"/>
                <w:szCs w:val="20"/>
              </w:rPr>
              <w:t xml:space="preserve">Crew </w:t>
            </w:r>
            <w:r w:rsidR="00024F58" w:rsidRPr="001F0712">
              <w:rPr>
                <w:rFonts w:ascii="Arial" w:hAnsi="Arial" w:cs="Arial"/>
                <w:sz w:val="20"/>
                <w:szCs w:val="20"/>
              </w:rPr>
              <w:t>Manager</w:t>
            </w:r>
            <w:r w:rsidRPr="001F0712">
              <w:rPr>
                <w:rFonts w:ascii="Arial" w:hAnsi="Arial" w:cs="Arial"/>
                <w:sz w:val="20"/>
                <w:szCs w:val="20"/>
              </w:rPr>
              <w:t xml:space="preserve"> </w:t>
            </w:r>
            <w:r w:rsidR="00D11F31">
              <w:rPr>
                <w:rFonts w:ascii="Arial" w:hAnsi="Arial" w:cs="Arial"/>
                <w:sz w:val="20"/>
                <w:szCs w:val="20"/>
              </w:rPr>
              <w:t>(dev)</w:t>
            </w:r>
          </w:p>
        </w:tc>
        <w:tc>
          <w:tcPr>
            <w:tcW w:w="1134" w:type="dxa"/>
            <w:tcBorders>
              <w:top w:val="nil"/>
              <w:left w:val="nil"/>
              <w:bottom w:val="single" w:sz="8" w:space="0" w:color="BFBFBF"/>
              <w:right w:val="single" w:sz="8" w:space="0" w:color="BFBFBF"/>
            </w:tcBorders>
            <w:shd w:val="clear" w:color="000000" w:fill="FFFFFF"/>
            <w:noWrap/>
            <w:vAlign w:val="bottom"/>
          </w:tcPr>
          <w:p w14:paraId="3A77D321" w14:textId="65B5F0D4"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CM 1</w:t>
            </w:r>
          </w:p>
        </w:tc>
        <w:tc>
          <w:tcPr>
            <w:tcW w:w="1275" w:type="dxa"/>
            <w:tcBorders>
              <w:top w:val="nil"/>
              <w:left w:val="nil"/>
              <w:bottom w:val="single" w:sz="8" w:space="0" w:color="BFBFBF"/>
              <w:right w:val="single" w:sz="8" w:space="0" w:color="BFBFBF"/>
            </w:tcBorders>
            <w:shd w:val="clear" w:color="000000" w:fill="FFFFFF"/>
            <w:noWrap/>
            <w:vAlign w:val="bottom"/>
          </w:tcPr>
          <w:p w14:paraId="21EB6784" w14:textId="2B84F0A7"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 xml:space="preserve">     40,041 </w:t>
            </w:r>
          </w:p>
        </w:tc>
        <w:tc>
          <w:tcPr>
            <w:tcW w:w="1295" w:type="dxa"/>
            <w:tcBorders>
              <w:top w:val="nil"/>
              <w:left w:val="nil"/>
              <w:bottom w:val="single" w:sz="8" w:space="0" w:color="BFBFBF"/>
              <w:right w:val="single" w:sz="8" w:space="0" w:color="BFBFBF"/>
            </w:tcBorders>
            <w:shd w:val="clear" w:color="000000" w:fill="FFFFFF"/>
            <w:noWrap/>
            <w:vAlign w:val="bottom"/>
          </w:tcPr>
          <w:p w14:paraId="5EEEF437" w14:textId="2610FA68"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5,256 </w:t>
            </w:r>
          </w:p>
        </w:tc>
        <w:tc>
          <w:tcPr>
            <w:tcW w:w="1000" w:type="dxa"/>
            <w:tcBorders>
              <w:top w:val="nil"/>
              <w:left w:val="nil"/>
              <w:bottom w:val="single" w:sz="8" w:space="0" w:color="BFBFBF"/>
              <w:right w:val="single" w:sz="8" w:space="0" w:color="BFBFBF"/>
            </w:tcBorders>
            <w:shd w:val="clear" w:color="000000" w:fill="FFFFFF"/>
            <w:noWrap/>
            <w:vAlign w:val="bottom"/>
          </w:tcPr>
          <w:p w14:paraId="101BC3D7" w14:textId="149D5041"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15,055 </w:t>
            </w:r>
          </w:p>
        </w:tc>
        <w:tc>
          <w:tcPr>
            <w:tcW w:w="1054" w:type="dxa"/>
            <w:tcBorders>
              <w:top w:val="nil"/>
              <w:left w:val="nil"/>
              <w:bottom w:val="single" w:sz="8" w:space="0" w:color="BFBFBF"/>
              <w:right w:val="single" w:sz="8" w:space="0" w:color="BFBFBF"/>
            </w:tcBorders>
            <w:shd w:val="clear" w:color="000000" w:fill="FFFFFF"/>
            <w:noWrap/>
            <w:vAlign w:val="bottom"/>
          </w:tcPr>
          <w:p w14:paraId="1434CB20" w14:textId="0A906EAF"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60,352 </w:t>
            </w:r>
          </w:p>
        </w:tc>
      </w:tr>
      <w:tr w:rsidR="004B6634" w:rsidRPr="001F0712" w14:paraId="31923116" w14:textId="77777777" w:rsidTr="00DC7F29">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586F7C66" w14:textId="7576C76F" w:rsidR="003B60C8" w:rsidRPr="001F0712" w:rsidRDefault="003B60C8" w:rsidP="003B60C8">
            <w:pPr>
              <w:spacing w:before="120" w:after="120"/>
              <w:contextualSpacing/>
              <w:rPr>
                <w:rFonts w:ascii="Arial" w:hAnsi="Arial" w:cs="Arial"/>
                <w:sz w:val="20"/>
                <w:szCs w:val="20"/>
              </w:rPr>
            </w:pPr>
            <w:r w:rsidRPr="001F0712">
              <w:rPr>
                <w:rFonts w:ascii="Arial" w:hAnsi="Arial" w:cs="Arial"/>
                <w:sz w:val="20"/>
                <w:szCs w:val="20"/>
              </w:rPr>
              <w:t xml:space="preserve">Crew </w:t>
            </w:r>
            <w:r w:rsidR="00024F58" w:rsidRPr="001F0712">
              <w:rPr>
                <w:rFonts w:ascii="Arial" w:hAnsi="Arial" w:cs="Arial"/>
                <w:sz w:val="20"/>
                <w:szCs w:val="20"/>
              </w:rPr>
              <w:t>Manager</w:t>
            </w:r>
            <w:r w:rsidRPr="001F0712">
              <w:rPr>
                <w:rFonts w:ascii="Arial" w:hAnsi="Arial" w:cs="Arial"/>
                <w:sz w:val="20"/>
                <w:szCs w:val="20"/>
              </w:rPr>
              <w:t xml:space="preserve"> (comp)</w:t>
            </w:r>
          </w:p>
        </w:tc>
        <w:tc>
          <w:tcPr>
            <w:tcW w:w="1134" w:type="dxa"/>
            <w:tcBorders>
              <w:top w:val="nil"/>
              <w:left w:val="nil"/>
              <w:bottom w:val="single" w:sz="8" w:space="0" w:color="BFBFBF"/>
              <w:right w:val="single" w:sz="8" w:space="0" w:color="BFBFBF"/>
            </w:tcBorders>
            <w:shd w:val="clear" w:color="000000" w:fill="FFFFFF"/>
            <w:noWrap/>
            <w:vAlign w:val="bottom"/>
          </w:tcPr>
          <w:p w14:paraId="480427A0" w14:textId="5F674ADF"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CM 2</w:t>
            </w:r>
          </w:p>
        </w:tc>
        <w:tc>
          <w:tcPr>
            <w:tcW w:w="1275" w:type="dxa"/>
            <w:tcBorders>
              <w:top w:val="nil"/>
              <w:left w:val="nil"/>
              <w:bottom w:val="single" w:sz="8" w:space="0" w:color="BFBFBF"/>
              <w:right w:val="single" w:sz="8" w:space="0" w:color="BFBFBF"/>
            </w:tcBorders>
            <w:shd w:val="clear" w:color="000000" w:fill="FFFFFF"/>
            <w:noWrap/>
            <w:vAlign w:val="bottom"/>
          </w:tcPr>
          <w:p w14:paraId="62710568" w14:textId="7463230C"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 xml:space="preserve">     41,767 </w:t>
            </w:r>
          </w:p>
        </w:tc>
        <w:tc>
          <w:tcPr>
            <w:tcW w:w="1295" w:type="dxa"/>
            <w:tcBorders>
              <w:top w:val="nil"/>
              <w:left w:val="nil"/>
              <w:bottom w:val="single" w:sz="8" w:space="0" w:color="BFBFBF"/>
              <w:right w:val="single" w:sz="8" w:space="0" w:color="BFBFBF"/>
            </w:tcBorders>
            <w:shd w:val="clear" w:color="000000" w:fill="FFFFFF"/>
            <w:noWrap/>
            <w:vAlign w:val="bottom"/>
          </w:tcPr>
          <w:p w14:paraId="24E95048" w14:textId="1A447733"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5,515 </w:t>
            </w:r>
          </w:p>
        </w:tc>
        <w:tc>
          <w:tcPr>
            <w:tcW w:w="1000" w:type="dxa"/>
            <w:tcBorders>
              <w:top w:val="nil"/>
              <w:left w:val="nil"/>
              <w:bottom w:val="single" w:sz="8" w:space="0" w:color="BFBFBF"/>
              <w:right w:val="single" w:sz="8" w:space="0" w:color="BFBFBF"/>
            </w:tcBorders>
            <w:shd w:val="clear" w:color="000000" w:fill="FFFFFF"/>
            <w:noWrap/>
            <w:vAlign w:val="bottom"/>
          </w:tcPr>
          <w:p w14:paraId="25B9AA68" w14:textId="4A96E0C5"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15,704 </w:t>
            </w:r>
          </w:p>
        </w:tc>
        <w:tc>
          <w:tcPr>
            <w:tcW w:w="1054" w:type="dxa"/>
            <w:tcBorders>
              <w:top w:val="nil"/>
              <w:left w:val="nil"/>
              <w:bottom w:val="single" w:sz="8" w:space="0" w:color="BFBFBF"/>
              <w:right w:val="single" w:sz="8" w:space="0" w:color="BFBFBF"/>
            </w:tcBorders>
            <w:shd w:val="clear" w:color="000000" w:fill="FFFFFF"/>
            <w:noWrap/>
            <w:vAlign w:val="bottom"/>
          </w:tcPr>
          <w:p w14:paraId="5ECB1FDC" w14:textId="4EE0BC2A"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62,986 </w:t>
            </w:r>
          </w:p>
        </w:tc>
      </w:tr>
      <w:tr w:rsidR="004B6634" w:rsidRPr="001F0712" w14:paraId="70F96355" w14:textId="77777777" w:rsidTr="00DC7F29">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5071DDA0" w14:textId="2B6861C4" w:rsidR="003B60C8" w:rsidRPr="001F0712" w:rsidRDefault="003B60C8" w:rsidP="003B60C8">
            <w:pPr>
              <w:spacing w:before="120" w:after="120"/>
              <w:contextualSpacing/>
              <w:rPr>
                <w:rFonts w:ascii="Arial" w:hAnsi="Arial" w:cs="Arial"/>
                <w:sz w:val="20"/>
                <w:szCs w:val="20"/>
              </w:rPr>
            </w:pPr>
            <w:r w:rsidRPr="001F0712">
              <w:rPr>
                <w:rFonts w:ascii="Arial" w:hAnsi="Arial" w:cs="Arial"/>
                <w:sz w:val="20"/>
                <w:szCs w:val="20"/>
              </w:rPr>
              <w:t xml:space="preserve">Watch </w:t>
            </w:r>
            <w:r w:rsidR="00024F58" w:rsidRPr="001F0712">
              <w:rPr>
                <w:rFonts w:ascii="Arial" w:hAnsi="Arial" w:cs="Arial"/>
                <w:sz w:val="20"/>
                <w:szCs w:val="20"/>
              </w:rPr>
              <w:t>Manager</w:t>
            </w:r>
            <w:r w:rsidRPr="001F0712">
              <w:rPr>
                <w:rFonts w:ascii="Arial" w:hAnsi="Arial" w:cs="Arial"/>
                <w:sz w:val="20"/>
                <w:szCs w:val="20"/>
              </w:rPr>
              <w:t xml:space="preserve"> </w:t>
            </w:r>
            <w:r w:rsidR="00D11F31">
              <w:rPr>
                <w:rFonts w:ascii="Arial" w:hAnsi="Arial" w:cs="Arial"/>
                <w:sz w:val="20"/>
                <w:szCs w:val="20"/>
              </w:rPr>
              <w:t>(dev)</w:t>
            </w:r>
          </w:p>
        </w:tc>
        <w:tc>
          <w:tcPr>
            <w:tcW w:w="1134" w:type="dxa"/>
            <w:tcBorders>
              <w:top w:val="nil"/>
              <w:left w:val="nil"/>
              <w:bottom w:val="single" w:sz="8" w:space="0" w:color="BFBFBF"/>
              <w:right w:val="single" w:sz="8" w:space="0" w:color="BFBFBF"/>
            </w:tcBorders>
            <w:shd w:val="clear" w:color="000000" w:fill="FFFFFF"/>
            <w:noWrap/>
            <w:vAlign w:val="bottom"/>
          </w:tcPr>
          <w:p w14:paraId="3B502BA7" w14:textId="41E52E52"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WM 1</w:t>
            </w:r>
          </w:p>
        </w:tc>
        <w:tc>
          <w:tcPr>
            <w:tcW w:w="1275" w:type="dxa"/>
            <w:tcBorders>
              <w:top w:val="nil"/>
              <w:left w:val="nil"/>
              <w:bottom w:val="single" w:sz="8" w:space="0" w:color="BFBFBF"/>
              <w:right w:val="single" w:sz="8" w:space="0" w:color="BFBFBF"/>
            </w:tcBorders>
            <w:shd w:val="clear" w:color="000000" w:fill="FFFFFF"/>
            <w:noWrap/>
            <w:vAlign w:val="bottom"/>
          </w:tcPr>
          <w:p w14:paraId="0DA7680F" w14:textId="4F9DB279"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 xml:space="preserve">     42,672 </w:t>
            </w:r>
          </w:p>
        </w:tc>
        <w:tc>
          <w:tcPr>
            <w:tcW w:w="1295" w:type="dxa"/>
            <w:tcBorders>
              <w:top w:val="nil"/>
              <w:left w:val="nil"/>
              <w:bottom w:val="single" w:sz="8" w:space="0" w:color="BFBFBF"/>
              <w:right w:val="single" w:sz="8" w:space="0" w:color="BFBFBF"/>
            </w:tcBorders>
            <w:shd w:val="clear" w:color="000000" w:fill="FFFFFF"/>
            <w:noWrap/>
            <w:vAlign w:val="bottom"/>
          </w:tcPr>
          <w:p w14:paraId="6A4FB860" w14:textId="6FD4A8B7"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5,651 </w:t>
            </w:r>
          </w:p>
        </w:tc>
        <w:tc>
          <w:tcPr>
            <w:tcW w:w="1000" w:type="dxa"/>
            <w:tcBorders>
              <w:top w:val="nil"/>
              <w:left w:val="nil"/>
              <w:bottom w:val="single" w:sz="8" w:space="0" w:color="BFBFBF"/>
              <w:right w:val="single" w:sz="8" w:space="0" w:color="BFBFBF"/>
            </w:tcBorders>
            <w:shd w:val="clear" w:color="000000" w:fill="FFFFFF"/>
            <w:noWrap/>
            <w:vAlign w:val="bottom"/>
          </w:tcPr>
          <w:p w14:paraId="0F612C2B" w14:textId="56235974"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16,045 </w:t>
            </w:r>
          </w:p>
        </w:tc>
        <w:tc>
          <w:tcPr>
            <w:tcW w:w="1054" w:type="dxa"/>
            <w:tcBorders>
              <w:top w:val="nil"/>
              <w:left w:val="nil"/>
              <w:bottom w:val="single" w:sz="8" w:space="0" w:color="BFBFBF"/>
              <w:right w:val="single" w:sz="8" w:space="0" w:color="BFBFBF"/>
            </w:tcBorders>
            <w:shd w:val="clear" w:color="000000" w:fill="FFFFFF"/>
            <w:noWrap/>
            <w:vAlign w:val="bottom"/>
          </w:tcPr>
          <w:p w14:paraId="1DE839AD" w14:textId="35511C13"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64,368 </w:t>
            </w:r>
          </w:p>
        </w:tc>
      </w:tr>
      <w:tr w:rsidR="001769EC" w:rsidRPr="00652CC6" w14:paraId="0F58C7A3" w14:textId="77777777" w:rsidTr="00CF448E">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2A64AAA4" w14:textId="0BC99046" w:rsidR="001769EC" w:rsidRPr="001769EC" w:rsidRDefault="001769EC" w:rsidP="003B60C8">
            <w:pPr>
              <w:spacing w:before="120" w:after="120"/>
              <w:contextualSpacing/>
              <w:rPr>
                <w:rFonts w:ascii="Arial" w:hAnsi="Arial" w:cs="Arial"/>
                <w:color w:val="747474" w:themeColor="background2" w:themeShade="80"/>
                <w:sz w:val="20"/>
                <w:szCs w:val="20"/>
              </w:rPr>
            </w:pPr>
            <w:r w:rsidRPr="001769EC">
              <w:rPr>
                <w:rFonts w:ascii="Arial" w:hAnsi="Arial" w:cs="Arial"/>
                <w:color w:val="747474" w:themeColor="background2" w:themeShade="80"/>
                <w:sz w:val="20"/>
                <w:szCs w:val="20"/>
              </w:rPr>
              <w:t>Watch Manager (comp A)</w:t>
            </w:r>
          </w:p>
        </w:tc>
        <w:tc>
          <w:tcPr>
            <w:tcW w:w="5758" w:type="dxa"/>
            <w:gridSpan w:val="5"/>
            <w:tcBorders>
              <w:top w:val="nil"/>
              <w:left w:val="nil"/>
              <w:bottom w:val="single" w:sz="8" w:space="0" w:color="BFBFBF"/>
              <w:right w:val="single" w:sz="8" w:space="0" w:color="BFBFBF"/>
            </w:tcBorders>
            <w:shd w:val="clear" w:color="000000" w:fill="FFFFFF"/>
            <w:noWrap/>
            <w:vAlign w:val="bottom"/>
          </w:tcPr>
          <w:p w14:paraId="306AE17A" w14:textId="1C81267F" w:rsidR="001769EC" w:rsidRPr="001769EC" w:rsidRDefault="001769EC" w:rsidP="003B60C8">
            <w:pPr>
              <w:spacing w:before="120" w:after="120"/>
              <w:contextualSpacing/>
              <w:jc w:val="center"/>
              <w:rPr>
                <w:rFonts w:ascii="Arial" w:hAnsi="Arial" w:cs="Arial"/>
                <w:i/>
                <w:iCs/>
                <w:color w:val="747474" w:themeColor="background2" w:themeShade="80"/>
                <w:sz w:val="20"/>
                <w:szCs w:val="20"/>
              </w:rPr>
            </w:pPr>
            <w:r w:rsidRPr="001769EC">
              <w:rPr>
                <w:rFonts w:ascii="Arial" w:hAnsi="Arial" w:cs="Arial"/>
                <w:i/>
                <w:iCs/>
                <w:color w:val="747474" w:themeColor="background2" w:themeShade="80"/>
                <w:sz w:val="20"/>
                <w:szCs w:val="20"/>
              </w:rPr>
              <w:t>Not used</w:t>
            </w:r>
          </w:p>
        </w:tc>
      </w:tr>
      <w:tr w:rsidR="004B6634" w:rsidRPr="001F0712" w14:paraId="1D5E08EB" w14:textId="77777777" w:rsidTr="00DC7F29">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5BEF622C" w14:textId="6747D3AE" w:rsidR="003B60C8" w:rsidRPr="001F0712" w:rsidRDefault="003B60C8" w:rsidP="003B60C8">
            <w:pPr>
              <w:spacing w:before="120" w:after="120"/>
              <w:contextualSpacing/>
              <w:rPr>
                <w:rFonts w:ascii="Arial" w:hAnsi="Arial" w:cs="Arial"/>
                <w:sz w:val="20"/>
                <w:szCs w:val="20"/>
              </w:rPr>
            </w:pPr>
            <w:r w:rsidRPr="001F0712">
              <w:rPr>
                <w:rFonts w:ascii="Arial" w:hAnsi="Arial" w:cs="Arial"/>
                <w:sz w:val="20"/>
                <w:szCs w:val="20"/>
              </w:rPr>
              <w:t xml:space="preserve">Watch </w:t>
            </w:r>
            <w:r w:rsidR="00024F58" w:rsidRPr="001F0712">
              <w:rPr>
                <w:rFonts w:ascii="Arial" w:hAnsi="Arial" w:cs="Arial"/>
                <w:sz w:val="20"/>
                <w:szCs w:val="20"/>
              </w:rPr>
              <w:t>Manager</w:t>
            </w:r>
            <w:r w:rsidRPr="001F0712">
              <w:rPr>
                <w:rFonts w:ascii="Arial" w:hAnsi="Arial" w:cs="Arial"/>
                <w:sz w:val="20"/>
                <w:szCs w:val="20"/>
              </w:rPr>
              <w:t xml:space="preserve"> (comp B)</w:t>
            </w:r>
          </w:p>
        </w:tc>
        <w:tc>
          <w:tcPr>
            <w:tcW w:w="1134" w:type="dxa"/>
            <w:tcBorders>
              <w:top w:val="nil"/>
              <w:left w:val="nil"/>
              <w:bottom w:val="single" w:sz="8" w:space="0" w:color="BFBFBF"/>
              <w:right w:val="single" w:sz="8" w:space="0" w:color="BFBFBF"/>
            </w:tcBorders>
            <w:shd w:val="clear" w:color="000000" w:fill="FFFFFF"/>
            <w:noWrap/>
            <w:vAlign w:val="bottom"/>
          </w:tcPr>
          <w:p w14:paraId="09962767" w14:textId="08D07E2F"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WM 3</w:t>
            </w:r>
          </w:p>
        </w:tc>
        <w:tc>
          <w:tcPr>
            <w:tcW w:w="1275" w:type="dxa"/>
            <w:tcBorders>
              <w:top w:val="nil"/>
              <w:left w:val="nil"/>
              <w:bottom w:val="single" w:sz="8" w:space="0" w:color="BFBFBF"/>
              <w:right w:val="single" w:sz="8" w:space="0" w:color="BFBFBF"/>
            </w:tcBorders>
            <w:shd w:val="clear" w:color="000000" w:fill="FFFFFF"/>
            <w:noWrap/>
            <w:vAlign w:val="bottom"/>
          </w:tcPr>
          <w:p w14:paraId="60723FBB" w14:textId="5EA2F05D"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 xml:space="preserve">     46,707 </w:t>
            </w:r>
          </w:p>
        </w:tc>
        <w:tc>
          <w:tcPr>
            <w:tcW w:w="1295" w:type="dxa"/>
            <w:tcBorders>
              <w:top w:val="nil"/>
              <w:left w:val="nil"/>
              <w:bottom w:val="single" w:sz="8" w:space="0" w:color="BFBFBF"/>
              <w:right w:val="single" w:sz="8" w:space="0" w:color="BFBFBF"/>
            </w:tcBorders>
            <w:shd w:val="clear" w:color="FFFFFF" w:fill="FFFFFF"/>
            <w:noWrap/>
            <w:vAlign w:val="bottom"/>
          </w:tcPr>
          <w:p w14:paraId="1A03D44F" w14:textId="2BEBF787"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6,256 </w:t>
            </w:r>
          </w:p>
        </w:tc>
        <w:tc>
          <w:tcPr>
            <w:tcW w:w="1000" w:type="dxa"/>
            <w:tcBorders>
              <w:top w:val="nil"/>
              <w:left w:val="nil"/>
              <w:bottom w:val="single" w:sz="8" w:space="0" w:color="BFBFBF"/>
              <w:right w:val="single" w:sz="8" w:space="0" w:color="BFBFBF"/>
            </w:tcBorders>
            <w:shd w:val="clear" w:color="FFFFFF" w:fill="FFFFFF"/>
            <w:noWrap/>
            <w:vAlign w:val="bottom"/>
          </w:tcPr>
          <w:p w14:paraId="1FF49957" w14:textId="52BC3723"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17,562 </w:t>
            </w:r>
          </w:p>
        </w:tc>
        <w:tc>
          <w:tcPr>
            <w:tcW w:w="1054" w:type="dxa"/>
            <w:tcBorders>
              <w:top w:val="nil"/>
              <w:left w:val="nil"/>
              <w:bottom w:val="single" w:sz="8" w:space="0" w:color="BFBFBF"/>
              <w:right w:val="single" w:sz="8" w:space="0" w:color="BFBFBF"/>
            </w:tcBorders>
            <w:shd w:val="clear" w:color="FFFFFF" w:fill="FFFFFF"/>
            <w:noWrap/>
            <w:vAlign w:val="bottom"/>
          </w:tcPr>
          <w:p w14:paraId="05AB72C1" w14:textId="3BB74FFE"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70,525 </w:t>
            </w:r>
          </w:p>
        </w:tc>
      </w:tr>
      <w:tr w:rsidR="004B6634" w:rsidRPr="001F0712" w14:paraId="1E8F7B7D" w14:textId="77777777" w:rsidTr="00DC7F29">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3B88D8B1" w14:textId="3E169C14" w:rsidR="003B60C8" w:rsidRPr="001F0712" w:rsidRDefault="00024F58" w:rsidP="003B60C8">
            <w:pPr>
              <w:spacing w:before="120" w:after="120"/>
              <w:contextualSpacing/>
              <w:rPr>
                <w:rFonts w:ascii="Arial" w:hAnsi="Arial" w:cs="Arial"/>
                <w:sz w:val="20"/>
                <w:szCs w:val="20"/>
              </w:rPr>
            </w:pPr>
            <w:r w:rsidRPr="001F0712">
              <w:rPr>
                <w:rFonts w:ascii="Arial" w:hAnsi="Arial" w:cs="Arial"/>
                <w:sz w:val="20"/>
                <w:szCs w:val="20"/>
              </w:rPr>
              <w:t>Station</w:t>
            </w:r>
            <w:r w:rsidR="003B60C8" w:rsidRPr="001F0712">
              <w:rPr>
                <w:rFonts w:ascii="Arial" w:hAnsi="Arial" w:cs="Arial"/>
                <w:sz w:val="20"/>
                <w:szCs w:val="20"/>
              </w:rPr>
              <w:t xml:space="preserve"> </w:t>
            </w:r>
            <w:r w:rsidRPr="001F0712">
              <w:rPr>
                <w:rFonts w:ascii="Arial" w:hAnsi="Arial" w:cs="Arial"/>
                <w:sz w:val="20"/>
                <w:szCs w:val="20"/>
              </w:rPr>
              <w:t>Manager</w:t>
            </w:r>
            <w:r w:rsidR="003B60C8" w:rsidRPr="001F0712">
              <w:rPr>
                <w:rFonts w:ascii="Arial" w:hAnsi="Arial" w:cs="Arial"/>
                <w:sz w:val="20"/>
                <w:szCs w:val="20"/>
              </w:rPr>
              <w:t xml:space="preserve"> </w:t>
            </w:r>
            <w:r w:rsidR="00D11F31">
              <w:rPr>
                <w:rFonts w:ascii="Arial" w:hAnsi="Arial" w:cs="Arial"/>
                <w:sz w:val="20"/>
                <w:szCs w:val="20"/>
              </w:rPr>
              <w:t>(dev)</w:t>
            </w:r>
          </w:p>
        </w:tc>
        <w:tc>
          <w:tcPr>
            <w:tcW w:w="1134" w:type="dxa"/>
            <w:tcBorders>
              <w:top w:val="nil"/>
              <w:left w:val="nil"/>
              <w:bottom w:val="single" w:sz="8" w:space="0" w:color="BFBFBF"/>
              <w:right w:val="single" w:sz="8" w:space="0" w:color="BFBFBF"/>
            </w:tcBorders>
            <w:shd w:val="clear" w:color="000000" w:fill="FFFFFF"/>
            <w:noWrap/>
            <w:vAlign w:val="bottom"/>
          </w:tcPr>
          <w:p w14:paraId="0BEDD66C" w14:textId="27272FD9"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SM 1</w:t>
            </w:r>
          </w:p>
        </w:tc>
        <w:tc>
          <w:tcPr>
            <w:tcW w:w="1275" w:type="dxa"/>
            <w:tcBorders>
              <w:top w:val="nil"/>
              <w:left w:val="nil"/>
              <w:bottom w:val="single" w:sz="8" w:space="0" w:color="BFBFBF"/>
              <w:right w:val="single" w:sz="8" w:space="0" w:color="BFBFBF"/>
            </w:tcBorders>
            <w:shd w:val="clear" w:color="000000" w:fill="FFFFFF"/>
            <w:noWrap/>
            <w:vAlign w:val="bottom"/>
          </w:tcPr>
          <w:p w14:paraId="3E4791BA" w14:textId="1683C46C"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 xml:space="preserve">     48,580 </w:t>
            </w:r>
          </w:p>
        </w:tc>
        <w:tc>
          <w:tcPr>
            <w:tcW w:w="1295" w:type="dxa"/>
            <w:tcBorders>
              <w:top w:val="nil"/>
              <w:left w:val="nil"/>
              <w:bottom w:val="single" w:sz="8" w:space="0" w:color="BFBFBF"/>
              <w:right w:val="single" w:sz="8" w:space="0" w:color="BFBFBF"/>
            </w:tcBorders>
            <w:shd w:val="clear" w:color="FFFFFF" w:fill="FFFFFF"/>
            <w:noWrap/>
            <w:vAlign w:val="bottom"/>
          </w:tcPr>
          <w:p w14:paraId="5AAE51A7" w14:textId="5813168F"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6,537 </w:t>
            </w:r>
          </w:p>
        </w:tc>
        <w:tc>
          <w:tcPr>
            <w:tcW w:w="1000" w:type="dxa"/>
            <w:tcBorders>
              <w:top w:val="nil"/>
              <w:left w:val="nil"/>
              <w:bottom w:val="single" w:sz="8" w:space="0" w:color="BFBFBF"/>
              <w:right w:val="single" w:sz="8" w:space="0" w:color="BFBFBF"/>
            </w:tcBorders>
            <w:shd w:val="clear" w:color="FFFFFF" w:fill="FFFFFF"/>
            <w:noWrap/>
            <w:vAlign w:val="bottom"/>
          </w:tcPr>
          <w:p w14:paraId="6C7F5FA3" w14:textId="16A39DDC"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18,266 </w:t>
            </w:r>
          </w:p>
        </w:tc>
        <w:tc>
          <w:tcPr>
            <w:tcW w:w="1054" w:type="dxa"/>
            <w:tcBorders>
              <w:top w:val="nil"/>
              <w:left w:val="nil"/>
              <w:bottom w:val="single" w:sz="8" w:space="0" w:color="BFBFBF"/>
              <w:right w:val="single" w:sz="8" w:space="0" w:color="BFBFBF"/>
            </w:tcBorders>
            <w:shd w:val="clear" w:color="FFFFFF" w:fill="FFFFFF"/>
            <w:noWrap/>
            <w:vAlign w:val="bottom"/>
          </w:tcPr>
          <w:p w14:paraId="6D84E699" w14:textId="19F04651"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73,383 </w:t>
            </w:r>
          </w:p>
        </w:tc>
      </w:tr>
      <w:tr w:rsidR="001769EC" w:rsidRPr="00652CC6" w14:paraId="6F5CA785" w14:textId="77777777" w:rsidTr="00BE06EA">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4DA45121" w14:textId="11259A5A" w:rsidR="001769EC" w:rsidRPr="001769EC" w:rsidRDefault="001769EC" w:rsidP="003B60C8">
            <w:pPr>
              <w:spacing w:before="120" w:after="120"/>
              <w:contextualSpacing/>
              <w:rPr>
                <w:rFonts w:ascii="Arial" w:hAnsi="Arial" w:cs="Arial"/>
                <w:color w:val="747474" w:themeColor="background2" w:themeShade="80"/>
                <w:sz w:val="20"/>
                <w:szCs w:val="20"/>
              </w:rPr>
            </w:pPr>
            <w:r w:rsidRPr="001769EC">
              <w:rPr>
                <w:rFonts w:ascii="Arial" w:hAnsi="Arial" w:cs="Arial"/>
                <w:color w:val="747474" w:themeColor="background2" w:themeShade="80"/>
                <w:sz w:val="20"/>
                <w:szCs w:val="20"/>
              </w:rPr>
              <w:t>Station Manager (comp A)</w:t>
            </w:r>
          </w:p>
        </w:tc>
        <w:tc>
          <w:tcPr>
            <w:tcW w:w="5758" w:type="dxa"/>
            <w:gridSpan w:val="5"/>
            <w:tcBorders>
              <w:top w:val="nil"/>
              <w:left w:val="nil"/>
              <w:bottom w:val="single" w:sz="8" w:space="0" w:color="BFBFBF"/>
              <w:right w:val="single" w:sz="8" w:space="0" w:color="BFBFBF"/>
            </w:tcBorders>
            <w:shd w:val="clear" w:color="000000" w:fill="FFFFFF"/>
            <w:noWrap/>
            <w:vAlign w:val="bottom"/>
          </w:tcPr>
          <w:p w14:paraId="098FDEA2" w14:textId="2D5EE784" w:rsidR="001769EC" w:rsidRPr="00652CC6" w:rsidRDefault="001769EC" w:rsidP="003B60C8">
            <w:pPr>
              <w:spacing w:before="120" w:after="120"/>
              <w:contextualSpacing/>
              <w:jc w:val="center"/>
              <w:rPr>
                <w:rFonts w:ascii="Arial" w:hAnsi="Arial" w:cs="Arial"/>
                <w:color w:val="FF0000"/>
                <w:sz w:val="20"/>
                <w:szCs w:val="20"/>
              </w:rPr>
            </w:pPr>
            <w:r w:rsidRPr="001769EC">
              <w:rPr>
                <w:rFonts w:ascii="Arial" w:hAnsi="Arial" w:cs="Arial"/>
                <w:i/>
                <w:iCs/>
                <w:color w:val="747474" w:themeColor="background2" w:themeShade="80"/>
                <w:sz w:val="20"/>
                <w:szCs w:val="20"/>
              </w:rPr>
              <w:t>Not used</w:t>
            </w:r>
          </w:p>
        </w:tc>
      </w:tr>
      <w:tr w:rsidR="004B6634" w:rsidRPr="001F0712" w14:paraId="66B09ECD" w14:textId="77777777" w:rsidTr="00DC7F29">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50937BC6" w14:textId="78AC2419" w:rsidR="003B60C8" w:rsidRPr="001F0712" w:rsidRDefault="00024F58" w:rsidP="003B60C8">
            <w:pPr>
              <w:spacing w:before="120" w:after="120"/>
              <w:contextualSpacing/>
              <w:rPr>
                <w:rFonts w:ascii="Arial" w:hAnsi="Arial" w:cs="Arial"/>
                <w:sz w:val="20"/>
                <w:szCs w:val="20"/>
              </w:rPr>
            </w:pPr>
            <w:r w:rsidRPr="001F0712">
              <w:rPr>
                <w:rFonts w:ascii="Arial" w:hAnsi="Arial" w:cs="Arial"/>
                <w:sz w:val="20"/>
                <w:szCs w:val="20"/>
              </w:rPr>
              <w:t>Station</w:t>
            </w:r>
            <w:r w:rsidR="003B60C8" w:rsidRPr="001F0712">
              <w:rPr>
                <w:rFonts w:ascii="Arial" w:hAnsi="Arial" w:cs="Arial"/>
                <w:sz w:val="20"/>
                <w:szCs w:val="20"/>
              </w:rPr>
              <w:t xml:space="preserve"> </w:t>
            </w:r>
            <w:r w:rsidRPr="001F0712">
              <w:rPr>
                <w:rFonts w:ascii="Arial" w:hAnsi="Arial" w:cs="Arial"/>
                <w:sz w:val="20"/>
                <w:szCs w:val="20"/>
              </w:rPr>
              <w:t>Manager</w:t>
            </w:r>
            <w:r w:rsidR="003B60C8" w:rsidRPr="001F0712">
              <w:rPr>
                <w:rFonts w:ascii="Arial" w:hAnsi="Arial" w:cs="Arial"/>
                <w:sz w:val="20"/>
                <w:szCs w:val="20"/>
              </w:rPr>
              <w:t xml:space="preserve"> (comp B)</w:t>
            </w:r>
          </w:p>
        </w:tc>
        <w:tc>
          <w:tcPr>
            <w:tcW w:w="1134" w:type="dxa"/>
            <w:tcBorders>
              <w:top w:val="nil"/>
              <w:left w:val="nil"/>
              <w:bottom w:val="single" w:sz="8" w:space="0" w:color="BFBFBF"/>
              <w:right w:val="single" w:sz="8" w:space="0" w:color="BFBFBF"/>
            </w:tcBorders>
            <w:shd w:val="clear" w:color="000000" w:fill="FFFFFF"/>
            <w:noWrap/>
            <w:vAlign w:val="bottom"/>
          </w:tcPr>
          <w:p w14:paraId="4500287B" w14:textId="5ABDA5BA"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SM 4</w:t>
            </w:r>
          </w:p>
        </w:tc>
        <w:tc>
          <w:tcPr>
            <w:tcW w:w="1275" w:type="dxa"/>
            <w:tcBorders>
              <w:top w:val="nil"/>
              <w:left w:val="nil"/>
              <w:bottom w:val="single" w:sz="8" w:space="0" w:color="BFBFBF"/>
              <w:right w:val="single" w:sz="8" w:space="0" w:color="BFBFBF"/>
            </w:tcBorders>
            <w:shd w:val="clear" w:color="000000" w:fill="FFFFFF"/>
            <w:noWrap/>
            <w:vAlign w:val="bottom"/>
          </w:tcPr>
          <w:p w14:paraId="321DD073" w14:textId="31B43CD3"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 xml:space="preserve">     53,586 </w:t>
            </w:r>
          </w:p>
        </w:tc>
        <w:tc>
          <w:tcPr>
            <w:tcW w:w="1295" w:type="dxa"/>
            <w:tcBorders>
              <w:top w:val="nil"/>
              <w:left w:val="nil"/>
              <w:bottom w:val="single" w:sz="8" w:space="0" w:color="BFBFBF"/>
              <w:right w:val="single" w:sz="8" w:space="0" w:color="BFBFBF"/>
            </w:tcBorders>
            <w:shd w:val="clear" w:color="FFFFFF" w:fill="FFFFFF"/>
            <w:noWrap/>
            <w:vAlign w:val="bottom"/>
          </w:tcPr>
          <w:p w14:paraId="3CD2967B" w14:textId="6A8E446A"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7,288 </w:t>
            </w:r>
          </w:p>
        </w:tc>
        <w:tc>
          <w:tcPr>
            <w:tcW w:w="1000" w:type="dxa"/>
            <w:tcBorders>
              <w:top w:val="nil"/>
              <w:left w:val="nil"/>
              <w:bottom w:val="single" w:sz="8" w:space="0" w:color="BFBFBF"/>
              <w:right w:val="single" w:sz="8" w:space="0" w:color="BFBFBF"/>
            </w:tcBorders>
            <w:shd w:val="clear" w:color="FFFFFF" w:fill="FFFFFF"/>
            <w:noWrap/>
            <w:vAlign w:val="bottom"/>
          </w:tcPr>
          <w:p w14:paraId="75E3CA31" w14:textId="43FBDCA7"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20,148 </w:t>
            </w:r>
          </w:p>
        </w:tc>
        <w:tc>
          <w:tcPr>
            <w:tcW w:w="1054" w:type="dxa"/>
            <w:tcBorders>
              <w:top w:val="nil"/>
              <w:left w:val="nil"/>
              <w:bottom w:val="single" w:sz="8" w:space="0" w:color="BFBFBF"/>
              <w:right w:val="single" w:sz="8" w:space="0" w:color="BFBFBF"/>
            </w:tcBorders>
            <w:shd w:val="clear" w:color="FFFFFF" w:fill="FFFFFF"/>
            <w:noWrap/>
            <w:vAlign w:val="bottom"/>
          </w:tcPr>
          <w:p w14:paraId="3ED0AE04" w14:textId="4534B11D"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81,022 </w:t>
            </w:r>
          </w:p>
        </w:tc>
      </w:tr>
      <w:tr w:rsidR="004B6634" w:rsidRPr="001F0712" w14:paraId="6699A452" w14:textId="77777777" w:rsidTr="00DC7F29">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20C90607" w14:textId="0DE43E17" w:rsidR="003B60C8" w:rsidRPr="001F0712" w:rsidRDefault="00024F58" w:rsidP="003B60C8">
            <w:pPr>
              <w:spacing w:before="120" w:after="120"/>
              <w:contextualSpacing/>
              <w:rPr>
                <w:rFonts w:ascii="Arial" w:hAnsi="Arial" w:cs="Arial"/>
                <w:sz w:val="20"/>
                <w:szCs w:val="20"/>
              </w:rPr>
            </w:pPr>
            <w:r w:rsidRPr="001F0712">
              <w:rPr>
                <w:rFonts w:ascii="Arial" w:hAnsi="Arial" w:cs="Arial"/>
                <w:sz w:val="20"/>
                <w:szCs w:val="20"/>
              </w:rPr>
              <w:t>Station</w:t>
            </w:r>
            <w:r w:rsidR="003B60C8" w:rsidRPr="001F0712">
              <w:rPr>
                <w:rFonts w:ascii="Arial" w:hAnsi="Arial" w:cs="Arial"/>
                <w:sz w:val="20"/>
                <w:szCs w:val="20"/>
              </w:rPr>
              <w:t xml:space="preserve"> </w:t>
            </w:r>
            <w:r w:rsidRPr="001F0712">
              <w:rPr>
                <w:rFonts w:ascii="Arial" w:hAnsi="Arial" w:cs="Arial"/>
                <w:sz w:val="20"/>
                <w:szCs w:val="20"/>
              </w:rPr>
              <w:t>Manager</w:t>
            </w:r>
            <w:r w:rsidR="003B60C8" w:rsidRPr="001F0712">
              <w:rPr>
                <w:rFonts w:ascii="Arial" w:hAnsi="Arial" w:cs="Arial"/>
                <w:sz w:val="20"/>
                <w:szCs w:val="20"/>
              </w:rPr>
              <w:t xml:space="preserve"> </w:t>
            </w:r>
            <w:r w:rsidR="00D11F31">
              <w:rPr>
                <w:rFonts w:ascii="Arial" w:hAnsi="Arial" w:cs="Arial"/>
                <w:sz w:val="20"/>
                <w:szCs w:val="20"/>
              </w:rPr>
              <w:t xml:space="preserve">(dev) </w:t>
            </w:r>
            <w:r w:rsidR="003B60C8" w:rsidRPr="001F0712">
              <w:rPr>
                <w:rFonts w:ascii="Arial" w:hAnsi="Arial" w:cs="Arial"/>
                <w:sz w:val="20"/>
                <w:szCs w:val="20"/>
              </w:rPr>
              <w:t>- flexi</w:t>
            </w:r>
          </w:p>
        </w:tc>
        <w:tc>
          <w:tcPr>
            <w:tcW w:w="1134" w:type="dxa"/>
            <w:tcBorders>
              <w:top w:val="nil"/>
              <w:left w:val="nil"/>
              <w:bottom w:val="single" w:sz="8" w:space="0" w:color="BFBFBF"/>
              <w:right w:val="single" w:sz="8" w:space="0" w:color="BFBFBF"/>
            </w:tcBorders>
            <w:shd w:val="clear" w:color="000000" w:fill="FFFFFF"/>
            <w:noWrap/>
            <w:vAlign w:val="bottom"/>
          </w:tcPr>
          <w:p w14:paraId="5AF8EF11" w14:textId="17DDC926"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SM 1</w:t>
            </w:r>
          </w:p>
        </w:tc>
        <w:tc>
          <w:tcPr>
            <w:tcW w:w="1275" w:type="dxa"/>
            <w:tcBorders>
              <w:top w:val="nil"/>
              <w:left w:val="nil"/>
              <w:bottom w:val="single" w:sz="8" w:space="0" w:color="BFBFBF"/>
              <w:right w:val="single" w:sz="8" w:space="0" w:color="BFBFBF"/>
            </w:tcBorders>
            <w:shd w:val="clear" w:color="000000" w:fill="FFFFFF"/>
            <w:noWrap/>
            <w:vAlign w:val="bottom"/>
          </w:tcPr>
          <w:p w14:paraId="1AF845AE" w14:textId="6EE38792"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 xml:space="preserve">     58,296 </w:t>
            </w:r>
          </w:p>
        </w:tc>
        <w:tc>
          <w:tcPr>
            <w:tcW w:w="1295" w:type="dxa"/>
            <w:tcBorders>
              <w:top w:val="nil"/>
              <w:left w:val="nil"/>
              <w:bottom w:val="single" w:sz="8" w:space="0" w:color="BFBFBF"/>
              <w:right w:val="single" w:sz="8" w:space="0" w:color="BFBFBF"/>
            </w:tcBorders>
            <w:shd w:val="clear" w:color="FFFFFF" w:fill="FFFFFF"/>
            <w:noWrap/>
            <w:vAlign w:val="bottom"/>
          </w:tcPr>
          <w:p w14:paraId="4195EA45" w14:textId="29D4EFEA"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7,994 </w:t>
            </w:r>
          </w:p>
        </w:tc>
        <w:tc>
          <w:tcPr>
            <w:tcW w:w="1000" w:type="dxa"/>
            <w:tcBorders>
              <w:top w:val="nil"/>
              <w:left w:val="nil"/>
              <w:bottom w:val="single" w:sz="8" w:space="0" w:color="BFBFBF"/>
              <w:right w:val="single" w:sz="8" w:space="0" w:color="BFBFBF"/>
            </w:tcBorders>
            <w:shd w:val="clear" w:color="FFFFFF" w:fill="FFFFFF"/>
            <w:noWrap/>
            <w:vAlign w:val="bottom"/>
          </w:tcPr>
          <w:p w14:paraId="2F492C8A" w14:textId="0F56B17E"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21,919 </w:t>
            </w:r>
          </w:p>
        </w:tc>
        <w:tc>
          <w:tcPr>
            <w:tcW w:w="1054" w:type="dxa"/>
            <w:tcBorders>
              <w:top w:val="nil"/>
              <w:left w:val="nil"/>
              <w:bottom w:val="single" w:sz="8" w:space="0" w:color="BFBFBF"/>
              <w:right w:val="single" w:sz="8" w:space="0" w:color="BFBFBF"/>
            </w:tcBorders>
            <w:shd w:val="clear" w:color="FFFFFF" w:fill="FFFFFF"/>
            <w:noWrap/>
            <w:vAlign w:val="bottom"/>
          </w:tcPr>
          <w:p w14:paraId="253E6AF3" w14:textId="348F6049"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88,209 </w:t>
            </w:r>
          </w:p>
        </w:tc>
      </w:tr>
      <w:tr w:rsidR="004B6634" w:rsidRPr="001F0712" w14:paraId="59130B8C" w14:textId="77777777" w:rsidTr="00DC7F29">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2F41D8E6" w14:textId="456FF6AC" w:rsidR="003B60C8" w:rsidRPr="001F0712" w:rsidRDefault="00024F58" w:rsidP="003B60C8">
            <w:pPr>
              <w:spacing w:before="120" w:after="120"/>
              <w:contextualSpacing/>
              <w:rPr>
                <w:rFonts w:ascii="Arial" w:hAnsi="Arial" w:cs="Arial"/>
                <w:sz w:val="20"/>
                <w:szCs w:val="20"/>
              </w:rPr>
            </w:pPr>
            <w:r w:rsidRPr="001F0712">
              <w:rPr>
                <w:rFonts w:ascii="Arial" w:hAnsi="Arial" w:cs="Arial"/>
                <w:sz w:val="20"/>
                <w:szCs w:val="20"/>
              </w:rPr>
              <w:t>Station</w:t>
            </w:r>
            <w:r w:rsidR="003B60C8" w:rsidRPr="001F0712">
              <w:rPr>
                <w:rFonts w:ascii="Arial" w:hAnsi="Arial" w:cs="Arial"/>
                <w:sz w:val="20"/>
                <w:szCs w:val="20"/>
              </w:rPr>
              <w:t xml:space="preserve"> </w:t>
            </w:r>
            <w:r w:rsidRPr="001F0712">
              <w:rPr>
                <w:rFonts w:ascii="Arial" w:hAnsi="Arial" w:cs="Arial"/>
                <w:sz w:val="20"/>
                <w:szCs w:val="20"/>
              </w:rPr>
              <w:t>Manager</w:t>
            </w:r>
            <w:r w:rsidR="003B60C8" w:rsidRPr="001F0712">
              <w:rPr>
                <w:rFonts w:ascii="Arial" w:hAnsi="Arial" w:cs="Arial"/>
                <w:sz w:val="20"/>
                <w:szCs w:val="20"/>
              </w:rPr>
              <w:t xml:space="preserve"> (comp B) - flexi</w:t>
            </w:r>
          </w:p>
        </w:tc>
        <w:tc>
          <w:tcPr>
            <w:tcW w:w="1134" w:type="dxa"/>
            <w:tcBorders>
              <w:top w:val="nil"/>
              <w:left w:val="nil"/>
              <w:bottom w:val="single" w:sz="8" w:space="0" w:color="BFBFBF"/>
              <w:right w:val="single" w:sz="8" w:space="0" w:color="BFBFBF"/>
            </w:tcBorders>
            <w:shd w:val="clear" w:color="000000" w:fill="FFFFFF"/>
            <w:noWrap/>
            <w:vAlign w:val="bottom"/>
          </w:tcPr>
          <w:p w14:paraId="0C2AB3BE" w14:textId="5142BD2E"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SM 4</w:t>
            </w:r>
          </w:p>
        </w:tc>
        <w:tc>
          <w:tcPr>
            <w:tcW w:w="1275" w:type="dxa"/>
            <w:tcBorders>
              <w:top w:val="nil"/>
              <w:left w:val="nil"/>
              <w:bottom w:val="single" w:sz="8" w:space="0" w:color="BFBFBF"/>
              <w:right w:val="single" w:sz="8" w:space="0" w:color="BFBFBF"/>
            </w:tcBorders>
            <w:shd w:val="clear" w:color="000000" w:fill="FFFFFF"/>
            <w:noWrap/>
            <w:vAlign w:val="bottom"/>
          </w:tcPr>
          <w:p w14:paraId="5D3E3EBD" w14:textId="6904B1DB"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 xml:space="preserve">     64,303 </w:t>
            </w:r>
          </w:p>
        </w:tc>
        <w:tc>
          <w:tcPr>
            <w:tcW w:w="1295" w:type="dxa"/>
            <w:tcBorders>
              <w:top w:val="nil"/>
              <w:left w:val="nil"/>
              <w:bottom w:val="single" w:sz="8" w:space="0" w:color="BFBFBF"/>
              <w:right w:val="single" w:sz="8" w:space="0" w:color="BFBFBF"/>
            </w:tcBorders>
            <w:shd w:val="clear" w:color="FFFFFF" w:fill="FFFFFF"/>
            <w:noWrap/>
            <w:vAlign w:val="bottom"/>
          </w:tcPr>
          <w:p w14:paraId="37F9B3C6" w14:textId="74281431"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8,895 </w:t>
            </w:r>
          </w:p>
        </w:tc>
        <w:tc>
          <w:tcPr>
            <w:tcW w:w="1000" w:type="dxa"/>
            <w:tcBorders>
              <w:top w:val="nil"/>
              <w:left w:val="nil"/>
              <w:bottom w:val="single" w:sz="8" w:space="0" w:color="BFBFBF"/>
              <w:right w:val="single" w:sz="8" w:space="0" w:color="BFBFBF"/>
            </w:tcBorders>
            <w:shd w:val="clear" w:color="FFFFFF" w:fill="FFFFFF"/>
            <w:noWrap/>
            <w:vAlign w:val="bottom"/>
          </w:tcPr>
          <w:p w14:paraId="017287FA" w14:textId="438D7ED7"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24,178 </w:t>
            </w:r>
          </w:p>
        </w:tc>
        <w:tc>
          <w:tcPr>
            <w:tcW w:w="1054" w:type="dxa"/>
            <w:tcBorders>
              <w:top w:val="nil"/>
              <w:left w:val="nil"/>
              <w:bottom w:val="single" w:sz="8" w:space="0" w:color="BFBFBF"/>
              <w:right w:val="single" w:sz="8" w:space="0" w:color="BFBFBF"/>
            </w:tcBorders>
            <w:shd w:val="clear" w:color="FFFFFF" w:fill="FFFFFF"/>
            <w:noWrap/>
            <w:vAlign w:val="bottom"/>
          </w:tcPr>
          <w:p w14:paraId="21D73B84" w14:textId="0F2A5AC0"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97,376 </w:t>
            </w:r>
          </w:p>
        </w:tc>
      </w:tr>
      <w:tr w:rsidR="004B6634" w:rsidRPr="001F0712" w14:paraId="0F0EDA83" w14:textId="77777777" w:rsidTr="00DC7F29">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4FBB95DD" w14:textId="5B86EACF" w:rsidR="003B60C8" w:rsidRPr="001F0712" w:rsidRDefault="003B60C8" w:rsidP="003B60C8">
            <w:pPr>
              <w:spacing w:before="120" w:after="120"/>
              <w:contextualSpacing/>
              <w:rPr>
                <w:rFonts w:ascii="Arial" w:hAnsi="Arial" w:cs="Arial"/>
                <w:sz w:val="20"/>
                <w:szCs w:val="20"/>
              </w:rPr>
            </w:pPr>
            <w:r w:rsidRPr="001F0712">
              <w:rPr>
                <w:rFonts w:ascii="Arial" w:hAnsi="Arial" w:cs="Arial"/>
                <w:sz w:val="20"/>
                <w:szCs w:val="20"/>
              </w:rPr>
              <w:t>Gr</w:t>
            </w:r>
            <w:r w:rsidR="00C940AA">
              <w:rPr>
                <w:rFonts w:ascii="Arial" w:hAnsi="Arial" w:cs="Arial"/>
                <w:sz w:val="20"/>
                <w:szCs w:val="20"/>
              </w:rPr>
              <w:t>ou</w:t>
            </w:r>
            <w:r w:rsidRPr="001F0712">
              <w:rPr>
                <w:rFonts w:ascii="Arial" w:hAnsi="Arial" w:cs="Arial"/>
                <w:sz w:val="20"/>
                <w:szCs w:val="20"/>
              </w:rPr>
              <w:t xml:space="preserve">p </w:t>
            </w:r>
            <w:r w:rsidR="00024F58" w:rsidRPr="001F0712">
              <w:rPr>
                <w:rFonts w:ascii="Arial" w:hAnsi="Arial" w:cs="Arial"/>
                <w:sz w:val="20"/>
                <w:szCs w:val="20"/>
              </w:rPr>
              <w:t>Manager</w:t>
            </w:r>
            <w:r w:rsidRPr="001F0712">
              <w:rPr>
                <w:rFonts w:ascii="Arial" w:hAnsi="Arial" w:cs="Arial"/>
                <w:sz w:val="20"/>
                <w:szCs w:val="20"/>
              </w:rPr>
              <w:t xml:space="preserve"> </w:t>
            </w:r>
            <w:r w:rsidR="00D11F31">
              <w:rPr>
                <w:rFonts w:ascii="Arial" w:hAnsi="Arial" w:cs="Arial"/>
                <w:sz w:val="20"/>
                <w:szCs w:val="20"/>
              </w:rPr>
              <w:t>(dev)</w:t>
            </w:r>
          </w:p>
        </w:tc>
        <w:tc>
          <w:tcPr>
            <w:tcW w:w="1134" w:type="dxa"/>
            <w:tcBorders>
              <w:top w:val="nil"/>
              <w:left w:val="nil"/>
              <w:bottom w:val="single" w:sz="8" w:space="0" w:color="BFBFBF"/>
              <w:right w:val="single" w:sz="8" w:space="0" w:color="BFBFBF"/>
            </w:tcBorders>
            <w:shd w:val="clear" w:color="000000" w:fill="FFFFFF"/>
            <w:noWrap/>
            <w:vAlign w:val="bottom"/>
          </w:tcPr>
          <w:p w14:paraId="6A711A05" w14:textId="4D3A0901"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GM 1</w:t>
            </w:r>
          </w:p>
        </w:tc>
        <w:tc>
          <w:tcPr>
            <w:tcW w:w="1275" w:type="dxa"/>
            <w:tcBorders>
              <w:top w:val="nil"/>
              <w:left w:val="nil"/>
              <w:bottom w:val="single" w:sz="8" w:space="0" w:color="BFBFBF"/>
              <w:right w:val="single" w:sz="8" w:space="0" w:color="BFBFBF"/>
            </w:tcBorders>
            <w:shd w:val="clear" w:color="000000" w:fill="FFFFFF"/>
            <w:noWrap/>
            <w:vAlign w:val="bottom"/>
          </w:tcPr>
          <w:p w14:paraId="100030C0" w14:textId="409BA2BF"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 xml:space="preserve">     67,144 </w:t>
            </w:r>
          </w:p>
        </w:tc>
        <w:tc>
          <w:tcPr>
            <w:tcW w:w="1295" w:type="dxa"/>
            <w:tcBorders>
              <w:top w:val="nil"/>
              <w:left w:val="nil"/>
              <w:bottom w:val="single" w:sz="8" w:space="0" w:color="BFBFBF"/>
              <w:right w:val="single" w:sz="8" w:space="0" w:color="BFBFBF"/>
            </w:tcBorders>
            <w:shd w:val="clear" w:color="FFFFFF" w:fill="FFFFFF"/>
            <w:noWrap/>
            <w:vAlign w:val="bottom"/>
          </w:tcPr>
          <w:p w14:paraId="725ADDAF" w14:textId="2DBF5879"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9,322 </w:t>
            </w:r>
          </w:p>
        </w:tc>
        <w:tc>
          <w:tcPr>
            <w:tcW w:w="1000" w:type="dxa"/>
            <w:tcBorders>
              <w:top w:val="nil"/>
              <w:left w:val="nil"/>
              <w:bottom w:val="single" w:sz="8" w:space="0" w:color="BFBFBF"/>
              <w:right w:val="single" w:sz="8" w:space="0" w:color="BFBFBF"/>
            </w:tcBorders>
            <w:shd w:val="clear" w:color="FFFFFF" w:fill="FFFFFF"/>
            <w:noWrap/>
            <w:vAlign w:val="bottom"/>
          </w:tcPr>
          <w:p w14:paraId="22F77BA9" w14:textId="2D4E0F6C"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25,246 </w:t>
            </w:r>
          </w:p>
        </w:tc>
        <w:tc>
          <w:tcPr>
            <w:tcW w:w="1054" w:type="dxa"/>
            <w:tcBorders>
              <w:top w:val="nil"/>
              <w:left w:val="nil"/>
              <w:bottom w:val="single" w:sz="8" w:space="0" w:color="BFBFBF"/>
              <w:right w:val="single" w:sz="8" w:space="0" w:color="BFBFBF"/>
            </w:tcBorders>
            <w:shd w:val="clear" w:color="FFFFFF" w:fill="FFFFFF"/>
            <w:noWrap/>
            <w:vAlign w:val="bottom"/>
          </w:tcPr>
          <w:p w14:paraId="0B4FCA41" w14:textId="0B290785"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101,712 </w:t>
            </w:r>
          </w:p>
        </w:tc>
      </w:tr>
      <w:tr w:rsidR="001769EC" w:rsidRPr="00652CC6" w14:paraId="6ADB76AE" w14:textId="77777777" w:rsidTr="00117EC0">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47E17E39" w14:textId="0F3A5B18" w:rsidR="001769EC" w:rsidRPr="001769EC" w:rsidRDefault="001769EC" w:rsidP="003B60C8">
            <w:pPr>
              <w:spacing w:before="120" w:after="120"/>
              <w:contextualSpacing/>
              <w:rPr>
                <w:rFonts w:ascii="Arial" w:hAnsi="Arial" w:cs="Arial"/>
                <w:color w:val="747474" w:themeColor="background2" w:themeShade="80"/>
                <w:sz w:val="20"/>
                <w:szCs w:val="20"/>
              </w:rPr>
            </w:pPr>
            <w:r w:rsidRPr="001769EC">
              <w:rPr>
                <w:rFonts w:ascii="Arial" w:hAnsi="Arial" w:cs="Arial"/>
                <w:color w:val="747474" w:themeColor="background2" w:themeShade="80"/>
                <w:sz w:val="20"/>
                <w:szCs w:val="20"/>
              </w:rPr>
              <w:t>Gr</w:t>
            </w:r>
            <w:r w:rsidR="00C940AA">
              <w:rPr>
                <w:rFonts w:ascii="Arial" w:hAnsi="Arial" w:cs="Arial"/>
                <w:color w:val="747474" w:themeColor="background2" w:themeShade="80"/>
                <w:sz w:val="20"/>
                <w:szCs w:val="20"/>
              </w:rPr>
              <w:t>ou</w:t>
            </w:r>
            <w:r w:rsidRPr="001769EC">
              <w:rPr>
                <w:rFonts w:ascii="Arial" w:hAnsi="Arial" w:cs="Arial"/>
                <w:color w:val="747474" w:themeColor="background2" w:themeShade="80"/>
                <w:sz w:val="20"/>
                <w:szCs w:val="20"/>
              </w:rPr>
              <w:t>p Manager (comp A)</w:t>
            </w:r>
          </w:p>
        </w:tc>
        <w:tc>
          <w:tcPr>
            <w:tcW w:w="5758" w:type="dxa"/>
            <w:gridSpan w:val="5"/>
            <w:tcBorders>
              <w:top w:val="nil"/>
              <w:left w:val="nil"/>
              <w:bottom w:val="single" w:sz="8" w:space="0" w:color="BFBFBF"/>
              <w:right w:val="single" w:sz="8" w:space="0" w:color="BFBFBF"/>
            </w:tcBorders>
            <w:shd w:val="clear" w:color="000000" w:fill="FFFFFF"/>
            <w:noWrap/>
            <w:vAlign w:val="bottom"/>
          </w:tcPr>
          <w:p w14:paraId="47C1A4C8" w14:textId="090C2476" w:rsidR="001769EC" w:rsidRPr="00652CC6" w:rsidRDefault="001769EC" w:rsidP="003B60C8">
            <w:pPr>
              <w:spacing w:before="120" w:after="120"/>
              <w:contextualSpacing/>
              <w:jc w:val="center"/>
              <w:rPr>
                <w:rFonts w:ascii="Arial" w:hAnsi="Arial" w:cs="Arial"/>
                <w:color w:val="FF0000"/>
                <w:sz w:val="20"/>
                <w:szCs w:val="20"/>
              </w:rPr>
            </w:pPr>
            <w:r w:rsidRPr="001769EC">
              <w:rPr>
                <w:rFonts w:ascii="Arial" w:hAnsi="Arial" w:cs="Arial"/>
                <w:i/>
                <w:iCs/>
                <w:color w:val="747474" w:themeColor="background2" w:themeShade="80"/>
                <w:sz w:val="20"/>
                <w:szCs w:val="20"/>
              </w:rPr>
              <w:t>Not used</w:t>
            </w:r>
          </w:p>
        </w:tc>
      </w:tr>
      <w:tr w:rsidR="004B6634" w:rsidRPr="001F0712" w14:paraId="7D9A5992" w14:textId="77777777" w:rsidTr="00DC7F29">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0064D758" w14:textId="4CDD8117" w:rsidR="003B60C8" w:rsidRPr="001F0712" w:rsidRDefault="003B60C8" w:rsidP="003B60C8">
            <w:pPr>
              <w:spacing w:before="120" w:after="120"/>
              <w:contextualSpacing/>
              <w:rPr>
                <w:rFonts w:ascii="Arial" w:hAnsi="Arial" w:cs="Arial"/>
                <w:sz w:val="20"/>
                <w:szCs w:val="20"/>
              </w:rPr>
            </w:pPr>
            <w:r w:rsidRPr="001F0712">
              <w:rPr>
                <w:rFonts w:ascii="Arial" w:hAnsi="Arial" w:cs="Arial"/>
                <w:sz w:val="20"/>
                <w:szCs w:val="20"/>
              </w:rPr>
              <w:t>Gr</w:t>
            </w:r>
            <w:r w:rsidR="00C940AA">
              <w:rPr>
                <w:rFonts w:ascii="Arial" w:hAnsi="Arial" w:cs="Arial"/>
                <w:sz w:val="20"/>
                <w:szCs w:val="20"/>
              </w:rPr>
              <w:t>ou</w:t>
            </w:r>
            <w:r w:rsidRPr="001F0712">
              <w:rPr>
                <w:rFonts w:ascii="Arial" w:hAnsi="Arial" w:cs="Arial"/>
                <w:sz w:val="20"/>
                <w:szCs w:val="20"/>
              </w:rPr>
              <w:t xml:space="preserve">p </w:t>
            </w:r>
            <w:r w:rsidR="00024F58" w:rsidRPr="001F0712">
              <w:rPr>
                <w:rFonts w:ascii="Arial" w:hAnsi="Arial" w:cs="Arial"/>
                <w:sz w:val="20"/>
                <w:szCs w:val="20"/>
              </w:rPr>
              <w:t>Manager</w:t>
            </w:r>
            <w:r w:rsidRPr="001F0712">
              <w:rPr>
                <w:rFonts w:ascii="Arial" w:hAnsi="Arial" w:cs="Arial"/>
                <w:sz w:val="20"/>
                <w:szCs w:val="20"/>
              </w:rPr>
              <w:t xml:space="preserve"> (comp B)</w:t>
            </w:r>
          </w:p>
        </w:tc>
        <w:tc>
          <w:tcPr>
            <w:tcW w:w="1134" w:type="dxa"/>
            <w:tcBorders>
              <w:top w:val="nil"/>
              <w:left w:val="nil"/>
              <w:bottom w:val="single" w:sz="8" w:space="0" w:color="BFBFBF"/>
              <w:right w:val="single" w:sz="8" w:space="0" w:color="BFBFBF"/>
            </w:tcBorders>
            <w:shd w:val="clear" w:color="000000" w:fill="FFFFFF"/>
            <w:noWrap/>
            <w:vAlign w:val="bottom"/>
          </w:tcPr>
          <w:p w14:paraId="37A5EE43" w14:textId="4760E74E"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GM 3</w:t>
            </w:r>
          </w:p>
        </w:tc>
        <w:tc>
          <w:tcPr>
            <w:tcW w:w="1275" w:type="dxa"/>
            <w:tcBorders>
              <w:top w:val="nil"/>
              <w:left w:val="nil"/>
              <w:bottom w:val="single" w:sz="8" w:space="0" w:color="BFBFBF"/>
              <w:right w:val="single" w:sz="8" w:space="0" w:color="BFBFBF"/>
            </w:tcBorders>
            <w:shd w:val="clear" w:color="000000" w:fill="FFFFFF"/>
            <w:noWrap/>
            <w:vAlign w:val="bottom"/>
          </w:tcPr>
          <w:p w14:paraId="73B24905" w14:textId="6B9B19ED"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 xml:space="preserve">     74,434 </w:t>
            </w:r>
          </w:p>
        </w:tc>
        <w:tc>
          <w:tcPr>
            <w:tcW w:w="1295" w:type="dxa"/>
            <w:tcBorders>
              <w:top w:val="nil"/>
              <w:left w:val="nil"/>
              <w:bottom w:val="single" w:sz="8" w:space="0" w:color="BFBFBF"/>
              <w:right w:val="single" w:sz="8" w:space="0" w:color="BFBFBF"/>
            </w:tcBorders>
            <w:shd w:val="clear" w:color="FFFFFF" w:fill="FFFFFF"/>
            <w:noWrap/>
            <w:vAlign w:val="bottom"/>
          </w:tcPr>
          <w:p w14:paraId="19A83463" w14:textId="383E7AE1"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10,415 </w:t>
            </w:r>
          </w:p>
        </w:tc>
        <w:tc>
          <w:tcPr>
            <w:tcW w:w="1000" w:type="dxa"/>
            <w:tcBorders>
              <w:top w:val="nil"/>
              <w:left w:val="nil"/>
              <w:bottom w:val="single" w:sz="8" w:space="0" w:color="BFBFBF"/>
              <w:right w:val="single" w:sz="8" w:space="0" w:color="BFBFBF"/>
            </w:tcBorders>
            <w:shd w:val="clear" w:color="FFFFFF" w:fill="FFFFFF"/>
            <w:noWrap/>
            <w:vAlign w:val="bottom"/>
          </w:tcPr>
          <w:p w14:paraId="64EE7F46" w14:textId="5488F233"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27,987 </w:t>
            </w:r>
          </w:p>
        </w:tc>
        <w:tc>
          <w:tcPr>
            <w:tcW w:w="1054" w:type="dxa"/>
            <w:tcBorders>
              <w:top w:val="nil"/>
              <w:left w:val="nil"/>
              <w:bottom w:val="single" w:sz="8" w:space="0" w:color="BFBFBF"/>
              <w:right w:val="single" w:sz="8" w:space="0" w:color="BFBFBF"/>
            </w:tcBorders>
            <w:shd w:val="clear" w:color="FFFFFF" w:fill="FFFFFF"/>
            <w:noWrap/>
            <w:vAlign w:val="bottom"/>
          </w:tcPr>
          <w:p w14:paraId="2C957AF2" w14:textId="1F573798"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112,836 </w:t>
            </w:r>
          </w:p>
        </w:tc>
      </w:tr>
      <w:tr w:rsidR="004B6634" w:rsidRPr="001F0712" w14:paraId="60447BCF" w14:textId="77777777" w:rsidTr="00DC7F29">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256B3711" w14:textId="2055AF64" w:rsidR="003B60C8" w:rsidRPr="001F0712" w:rsidRDefault="003B60C8" w:rsidP="003B60C8">
            <w:pPr>
              <w:spacing w:before="120" w:after="120"/>
              <w:contextualSpacing/>
              <w:rPr>
                <w:rFonts w:ascii="Arial" w:hAnsi="Arial" w:cs="Arial"/>
                <w:sz w:val="20"/>
                <w:szCs w:val="20"/>
              </w:rPr>
            </w:pPr>
            <w:r w:rsidRPr="001F0712">
              <w:rPr>
                <w:rFonts w:ascii="Arial" w:hAnsi="Arial" w:cs="Arial"/>
                <w:sz w:val="20"/>
                <w:szCs w:val="20"/>
              </w:rPr>
              <w:t xml:space="preserve">Area </w:t>
            </w:r>
            <w:r w:rsidR="00024F58" w:rsidRPr="001F0712">
              <w:rPr>
                <w:rFonts w:ascii="Arial" w:hAnsi="Arial" w:cs="Arial"/>
                <w:sz w:val="20"/>
                <w:szCs w:val="20"/>
              </w:rPr>
              <w:t>Manager</w:t>
            </w:r>
            <w:r w:rsidRPr="001F0712">
              <w:rPr>
                <w:rFonts w:ascii="Arial" w:hAnsi="Arial" w:cs="Arial"/>
                <w:sz w:val="20"/>
                <w:szCs w:val="20"/>
              </w:rPr>
              <w:t xml:space="preserve"> </w:t>
            </w:r>
            <w:r w:rsidR="00D11F31">
              <w:rPr>
                <w:rFonts w:ascii="Arial" w:hAnsi="Arial" w:cs="Arial"/>
                <w:sz w:val="20"/>
                <w:szCs w:val="20"/>
              </w:rPr>
              <w:t>(dev)</w:t>
            </w:r>
          </w:p>
        </w:tc>
        <w:tc>
          <w:tcPr>
            <w:tcW w:w="1134" w:type="dxa"/>
            <w:tcBorders>
              <w:top w:val="nil"/>
              <w:left w:val="nil"/>
              <w:bottom w:val="single" w:sz="8" w:space="0" w:color="BFBFBF"/>
              <w:right w:val="single" w:sz="8" w:space="0" w:color="BFBFBF"/>
            </w:tcBorders>
            <w:shd w:val="clear" w:color="000000" w:fill="FFFFFF"/>
            <w:noWrap/>
            <w:vAlign w:val="bottom"/>
          </w:tcPr>
          <w:p w14:paraId="1D2C58ED" w14:textId="127822C1"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AM 1</w:t>
            </w:r>
          </w:p>
        </w:tc>
        <w:tc>
          <w:tcPr>
            <w:tcW w:w="1275" w:type="dxa"/>
            <w:tcBorders>
              <w:top w:val="nil"/>
              <w:left w:val="nil"/>
              <w:bottom w:val="single" w:sz="8" w:space="0" w:color="BFBFBF"/>
              <w:right w:val="single" w:sz="8" w:space="0" w:color="BFBFBF"/>
            </w:tcBorders>
            <w:shd w:val="clear" w:color="000000" w:fill="FFFFFF"/>
            <w:noWrap/>
            <w:vAlign w:val="bottom"/>
          </w:tcPr>
          <w:p w14:paraId="495C3618" w14:textId="4FFCE53A" w:rsidR="003B60C8" w:rsidRPr="001F0712" w:rsidRDefault="003B60C8" w:rsidP="003B60C8">
            <w:pPr>
              <w:spacing w:before="120" w:after="120"/>
              <w:contextualSpacing/>
              <w:jc w:val="center"/>
              <w:rPr>
                <w:rFonts w:ascii="Arial" w:hAnsi="Arial" w:cs="Arial"/>
                <w:color w:val="000000"/>
                <w:sz w:val="20"/>
                <w:szCs w:val="20"/>
              </w:rPr>
            </w:pPr>
            <w:r w:rsidRPr="001F0712">
              <w:rPr>
                <w:rFonts w:ascii="Arial" w:hAnsi="Arial" w:cs="Arial"/>
                <w:sz w:val="20"/>
                <w:szCs w:val="20"/>
              </w:rPr>
              <w:t xml:space="preserve">     88,369 </w:t>
            </w:r>
          </w:p>
        </w:tc>
        <w:tc>
          <w:tcPr>
            <w:tcW w:w="1295" w:type="dxa"/>
            <w:tcBorders>
              <w:top w:val="nil"/>
              <w:left w:val="nil"/>
              <w:bottom w:val="single" w:sz="8" w:space="0" w:color="BFBFBF"/>
              <w:right w:val="single" w:sz="8" w:space="0" w:color="BFBFBF"/>
            </w:tcBorders>
            <w:shd w:val="clear" w:color="FFFFFF" w:fill="FFFFFF"/>
            <w:noWrap/>
            <w:vAlign w:val="bottom"/>
          </w:tcPr>
          <w:p w14:paraId="719400D2" w14:textId="33F2B398"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12,505 </w:t>
            </w:r>
          </w:p>
        </w:tc>
        <w:tc>
          <w:tcPr>
            <w:tcW w:w="1000" w:type="dxa"/>
            <w:tcBorders>
              <w:top w:val="nil"/>
              <w:left w:val="nil"/>
              <w:bottom w:val="single" w:sz="8" w:space="0" w:color="BFBFBF"/>
              <w:right w:val="single" w:sz="8" w:space="0" w:color="BFBFBF"/>
            </w:tcBorders>
            <w:shd w:val="clear" w:color="FFFFFF" w:fill="FFFFFF"/>
            <w:noWrap/>
            <w:vAlign w:val="bottom"/>
          </w:tcPr>
          <w:p w14:paraId="55F06AC7" w14:textId="0805A692"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33,227 </w:t>
            </w:r>
          </w:p>
        </w:tc>
        <w:tc>
          <w:tcPr>
            <w:tcW w:w="1054" w:type="dxa"/>
            <w:tcBorders>
              <w:top w:val="nil"/>
              <w:left w:val="nil"/>
              <w:bottom w:val="single" w:sz="8" w:space="0" w:color="BFBFBF"/>
              <w:right w:val="single" w:sz="8" w:space="0" w:color="BFBFBF"/>
            </w:tcBorders>
            <w:shd w:val="clear" w:color="FFFFFF" w:fill="FFFFFF"/>
            <w:noWrap/>
            <w:vAlign w:val="bottom"/>
          </w:tcPr>
          <w:p w14:paraId="033D431E" w14:textId="6F0FEA77" w:rsidR="003B60C8" w:rsidRPr="001F0712" w:rsidRDefault="003B60C8" w:rsidP="003B60C8">
            <w:pPr>
              <w:spacing w:before="120" w:after="120"/>
              <w:contextualSpacing/>
              <w:jc w:val="center"/>
              <w:rPr>
                <w:rFonts w:ascii="Arial" w:hAnsi="Arial" w:cs="Arial"/>
                <w:sz w:val="20"/>
                <w:szCs w:val="20"/>
              </w:rPr>
            </w:pPr>
            <w:r w:rsidRPr="001F0712">
              <w:rPr>
                <w:rFonts w:ascii="Arial" w:hAnsi="Arial" w:cs="Arial"/>
                <w:sz w:val="20"/>
                <w:szCs w:val="20"/>
              </w:rPr>
              <w:t xml:space="preserve"> 134,101 </w:t>
            </w:r>
          </w:p>
        </w:tc>
      </w:tr>
      <w:tr w:rsidR="001769EC" w:rsidRPr="00D11F31" w14:paraId="3D19ABE2" w14:textId="77777777" w:rsidTr="009A7621">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3E4EB0F5" w14:textId="0266B311" w:rsidR="001769EC" w:rsidRPr="001769EC" w:rsidRDefault="001769EC" w:rsidP="003B60C8">
            <w:pPr>
              <w:spacing w:before="120" w:after="120"/>
              <w:contextualSpacing/>
              <w:rPr>
                <w:rFonts w:ascii="Arial" w:hAnsi="Arial" w:cs="Arial"/>
                <w:color w:val="747474" w:themeColor="background2" w:themeShade="80"/>
                <w:sz w:val="20"/>
                <w:szCs w:val="20"/>
              </w:rPr>
            </w:pPr>
            <w:r w:rsidRPr="001769EC">
              <w:rPr>
                <w:rFonts w:ascii="Arial" w:hAnsi="Arial" w:cs="Arial"/>
                <w:color w:val="747474" w:themeColor="background2" w:themeShade="80"/>
                <w:sz w:val="20"/>
                <w:szCs w:val="20"/>
              </w:rPr>
              <w:t>Area Manager (comp A)</w:t>
            </w:r>
          </w:p>
        </w:tc>
        <w:tc>
          <w:tcPr>
            <w:tcW w:w="5758" w:type="dxa"/>
            <w:gridSpan w:val="5"/>
            <w:tcBorders>
              <w:top w:val="nil"/>
              <w:left w:val="nil"/>
              <w:bottom w:val="single" w:sz="8" w:space="0" w:color="BFBFBF"/>
              <w:right w:val="single" w:sz="8" w:space="0" w:color="BFBFBF"/>
            </w:tcBorders>
            <w:shd w:val="clear" w:color="000000" w:fill="FFFFFF"/>
            <w:noWrap/>
            <w:vAlign w:val="bottom"/>
          </w:tcPr>
          <w:p w14:paraId="6AC5B0B9" w14:textId="231C51E0" w:rsidR="001769EC" w:rsidRPr="00D11F31" w:rsidRDefault="001769EC" w:rsidP="003B60C8">
            <w:pPr>
              <w:spacing w:before="120" w:after="120"/>
              <w:contextualSpacing/>
              <w:jc w:val="center"/>
              <w:rPr>
                <w:rFonts w:ascii="Arial" w:hAnsi="Arial" w:cs="Arial"/>
                <w:color w:val="FF0000"/>
                <w:sz w:val="20"/>
                <w:szCs w:val="20"/>
              </w:rPr>
            </w:pPr>
            <w:r w:rsidRPr="001769EC">
              <w:rPr>
                <w:rFonts w:ascii="Arial" w:hAnsi="Arial" w:cs="Arial"/>
                <w:i/>
                <w:iCs/>
                <w:color w:val="747474" w:themeColor="background2" w:themeShade="80"/>
                <w:sz w:val="20"/>
                <w:szCs w:val="20"/>
              </w:rPr>
              <w:t>Not used</w:t>
            </w:r>
          </w:p>
        </w:tc>
      </w:tr>
      <w:tr w:rsidR="0091233B" w:rsidRPr="001F0712" w14:paraId="02BC1421" w14:textId="77777777" w:rsidTr="00DC7F29">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03F939CA" w14:textId="77777777" w:rsidR="0091233B" w:rsidRPr="001F0712" w:rsidRDefault="0091233B" w:rsidP="0099286D">
            <w:pPr>
              <w:spacing w:before="120" w:after="120"/>
              <w:contextualSpacing/>
              <w:rPr>
                <w:rFonts w:ascii="Arial" w:hAnsi="Arial" w:cs="Arial"/>
                <w:sz w:val="20"/>
                <w:szCs w:val="20"/>
              </w:rPr>
            </w:pPr>
            <w:r w:rsidRPr="001F0712">
              <w:rPr>
                <w:rFonts w:ascii="Arial" w:hAnsi="Arial" w:cs="Arial"/>
                <w:sz w:val="20"/>
                <w:szCs w:val="20"/>
              </w:rPr>
              <w:t>Area Manager (comp B)</w:t>
            </w:r>
          </w:p>
        </w:tc>
        <w:tc>
          <w:tcPr>
            <w:tcW w:w="1134" w:type="dxa"/>
            <w:tcBorders>
              <w:top w:val="nil"/>
              <w:left w:val="nil"/>
              <w:bottom w:val="single" w:sz="8" w:space="0" w:color="BFBFBF"/>
              <w:right w:val="single" w:sz="8" w:space="0" w:color="BFBFBF"/>
            </w:tcBorders>
            <w:shd w:val="clear" w:color="000000" w:fill="FFFFFF"/>
            <w:noWrap/>
            <w:vAlign w:val="bottom"/>
          </w:tcPr>
          <w:p w14:paraId="0B2AA64B" w14:textId="77777777" w:rsidR="0091233B" w:rsidRPr="001F0712" w:rsidRDefault="0091233B" w:rsidP="0099286D">
            <w:pPr>
              <w:spacing w:before="120" w:after="120"/>
              <w:contextualSpacing/>
              <w:jc w:val="center"/>
              <w:rPr>
                <w:rFonts w:ascii="Arial" w:hAnsi="Arial" w:cs="Arial"/>
                <w:color w:val="000000"/>
                <w:sz w:val="20"/>
                <w:szCs w:val="20"/>
              </w:rPr>
            </w:pPr>
            <w:r w:rsidRPr="001F0712">
              <w:rPr>
                <w:rFonts w:ascii="Arial" w:hAnsi="Arial" w:cs="Arial"/>
                <w:sz w:val="20"/>
                <w:szCs w:val="20"/>
              </w:rPr>
              <w:t>AM3</w:t>
            </w:r>
          </w:p>
        </w:tc>
        <w:tc>
          <w:tcPr>
            <w:tcW w:w="1275" w:type="dxa"/>
            <w:tcBorders>
              <w:top w:val="nil"/>
              <w:left w:val="nil"/>
              <w:bottom w:val="single" w:sz="8" w:space="0" w:color="BFBFBF"/>
              <w:right w:val="single" w:sz="8" w:space="0" w:color="BFBFBF"/>
            </w:tcBorders>
            <w:shd w:val="clear" w:color="000000" w:fill="FFFFFF"/>
            <w:noWrap/>
            <w:vAlign w:val="bottom"/>
          </w:tcPr>
          <w:p w14:paraId="7E3A4FA7" w14:textId="77777777" w:rsidR="0091233B" w:rsidRPr="001F0712" w:rsidRDefault="0091233B" w:rsidP="0099286D">
            <w:pPr>
              <w:spacing w:before="120" w:after="120"/>
              <w:contextualSpacing/>
              <w:jc w:val="center"/>
              <w:rPr>
                <w:rFonts w:ascii="Arial" w:hAnsi="Arial" w:cs="Arial"/>
                <w:color w:val="000000"/>
                <w:sz w:val="20"/>
                <w:szCs w:val="20"/>
              </w:rPr>
            </w:pPr>
            <w:r w:rsidRPr="001F0712">
              <w:rPr>
                <w:rFonts w:ascii="Arial" w:hAnsi="Arial" w:cs="Arial"/>
                <w:sz w:val="20"/>
                <w:szCs w:val="20"/>
              </w:rPr>
              <w:t xml:space="preserve">     96,610 </w:t>
            </w:r>
          </w:p>
        </w:tc>
        <w:tc>
          <w:tcPr>
            <w:tcW w:w="1295" w:type="dxa"/>
            <w:tcBorders>
              <w:top w:val="nil"/>
              <w:left w:val="nil"/>
              <w:bottom w:val="single" w:sz="8" w:space="0" w:color="BFBFBF"/>
              <w:right w:val="single" w:sz="8" w:space="0" w:color="BFBFBF"/>
            </w:tcBorders>
            <w:shd w:val="clear" w:color="FFFFFF" w:fill="FFFFFF"/>
            <w:noWrap/>
            <w:vAlign w:val="bottom"/>
          </w:tcPr>
          <w:p w14:paraId="1E0EB3A7" w14:textId="77777777" w:rsidR="0091233B" w:rsidRPr="001F0712" w:rsidRDefault="0091233B" w:rsidP="0099286D">
            <w:pPr>
              <w:spacing w:before="120" w:after="120"/>
              <w:contextualSpacing/>
              <w:jc w:val="center"/>
              <w:rPr>
                <w:rFonts w:ascii="Arial" w:hAnsi="Arial" w:cs="Arial"/>
                <w:sz w:val="20"/>
                <w:szCs w:val="20"/>
              </w:rPr>
            </w:pPr>
            <w:r w:rsidRPr="001F0712">
              <w:rPr>
                <w:rFonts w:ascii="Arial" w:hAnsi="Arial" w:cs="Arial"/>
                <w:sz w:val="20"/>
                <w:szCs w:val="20"/>
              </w:rPr>
              <w:t xml:space="preserve">    13,741 </w:t>
            </w:r>
          </w:p>
        </w:tc>
        <w:tc>
          <w:tcPr>
            <w:tcW w:w="1000" w:type="dxa"/>
            <w:tcBorders>
              <w:top w:val="nil"/>
              <w:left w:val="nil"/>
              <w:bottom w:val="single" w:sz="8" w:space="0" w:color="BFBFBF"/>
              <w:right w:val="single" w:sz="8" w:space="0" w:color="BFBFBF"/>
            </w:tcBorders>
            <w:shd w:val="clear" w:color="FFFFFF" w:fill="FFFFFF"/>
            <w:noWrap/>
            <w:vAlign w:val="bottom"/>
          </w:tcPr>
          <w:p w14:paraId="350EDC6B" w14:textId="77777777" w:rsidR="0091233B" w:rsidRPr="001F0712" w:rsidRDefault="0091233B" w:rsidP="0099286D">
            <w:pPr>
              <w:spacing w:before="120" w:after="120"/>
              <w:contextualSpacing/>
              <w:jc w:val="center"/>
              <w:rPr>
                <w:rFonts w:ascii="Arial" w:hAnsi="Arial" w:cs="Arial"/>
                <w:sz w:val="20"/>
                <w:szCs w:val="20"/>
              </w:rPr>
            </w:pPr>
            <w:r w:rsidRPr="001F0712">
              <w:rPr>
                <w:rFonts w:ascii="Arial" w:hAnsi="Arial" w:cs="Arial"/>
                <w:sz w:val="20"/>
                <w:szCs w:val="20"/>
              </w:rPr>
              <w:t xml:space="preserve">  36,325 </w:t>
            </w:r>
          </w:p>
        </w:tc>
        <w:tc>
          <w:tcPr>
            <w:tcW w:w="1054" w:type="dxa"/>
            <w:tcBorders>
              <w:top w:val="nil"/>
              <w:left w:val="nil"/>
              <w:bottom w:val="single" w:sz="8" w:space="0" w:color="BFBFBF"/>
              <w:right w:val="single" w:sz="8" w:space="0" w:color="BFBFBF"/>
            </w:tcBorders>
            <w:shd w:val="clear" w:color="FFFFFF" w:fill="FFFFFF"/>
            <w:noWrap/>
            <w:vAlign w:val="bottom"/>
          </w:tcPr>
          <w:p w14:paraId="162ACB0B" w14:textId="77777777" w:rsidR="0091233B" w:rsidRPr="001F0712" w:rsidRDefault="0091233B" w:rsidP="0099286D">
            <w:pPr>
              <w:spacing w:before="120" w:after="120"/>
              <w:contextualSpacing/>
              <w:jc w:val="center"/>
              <w:rPr>
                <w:rFonts w:ascii="Arial" w:hAnsi="Arial" w:cs="Arial"/>
                <w:sz w:val="20"/>
                <w:szCs w:val="20"/>
              </w:rPr>
            </w:pPr>
            <w:r w:rsidRPr="001F0712">
              <w:rPr>
                <w:rFonts w:ascii="Arial" w:hAnsi="Arial" w:cs="Arial"/>
                <w:sz w:val="20"/>
                <w:szCs w:val="20"/>
              </w:rPr>
              <w:t xml:space="preserve"> 146,676 </w:t>
            </w:r>
          </w:p>
        </w:tc>
      </w:tr>
      <w:tr w:rsidR="00DC7F29" w:rsidRPr="001F0712" w14:paraId="36E47F75" w14:textId="77777777" w:rsidTr="00DC7F29">
        <w:trPr>
          <w:trHeight w:val="60"/>
        </w:trPr>
        <w:tc>
          <w:tcPr>
            <w:tcW w:w="9021" w:type="dxa"/>
            <w:gridSpan w:val="7"/>
            <w:tcBorders>
              <w:top w:val="single" w:sz="8" w:space="0" w:color="BFBFBF"/>
              <w:left w:val="single" w:sz="8" w:space="0" w:color="BFBFBF"/>
              <w:bottom w:val="single" w:sz="8" w:space="0" w:color="BFBFBF"/>
              <w:right w:val="single" w:sz="8" w:space="0" w:color="BFBFBF"/>
            </w:tcBorders>
            <w:shd w:val="clear" w:color="000000" w:fill="FFFFFF"/>
            <w:vAlign w:val="center"/>
          </w:tcPr>
          <w:p w14:paraId="1271E82B" w14:textId="5171312D" w:rsidR="0091233B" w:rsidRPr="00BF3AE8" w:rsidRDefault="004D6801" w:rsidP="00894F0D">
            <w:pPr>
              <w:spacing w:before="120" w:after="120"/>
              <w:contextualSpacing/>
              <w:rPr>
                <w:rFonts w:ascii="Arial" w:hAnsi="Arial" w:cs="Arial"/>
                <w:b/>
                <w:bCs/>
                <w:color w:val="215E99" w:themeColor="text2" w:themeTint="BF"/>
                <w:sz w:val="20"/>
                <w:szCs w:val="20"/>
              </w:rPr>
            </w:pPr>
            <w:r w:rsidRPr="00BF3AE8">
              <w:rPr>
                <w:rFonts w:ascii="Arial" w:hAnsi="Arial" w:cs="Arial"/>
                <w:b/>
                <w:bCs/>
                <w:color w:val="215E99" w:themeColor="text2" w:themeTint="BF"/>
                <w:sz w:val="20"/>
                <w:szCs w:val="20"/>
              </w:rPr>
              <w:t xml:space="preserve">Control Room </w:t>
            </w:r>
            <w:r w:rsidR="0091233B" w:rsidRPr="00BF3AE8">
              <w:rPr>
                <w:rFonts w:ascii="Arial" w:hAnsi="Arial" w:cs="Arial"/>
                <w:b/>
                <w:bCs/>
                <w:color w:val="215E99" w:themeColor="text2" w:themeTint="BF"/>
                <w:sz w:val="20"/>
                <w:szCs w:val="20"/>
              </w:rPr>
              <w:t>staff</w:t>
            </w:r>
            <w:r w:rsidR="00DC7F29" w:rsidRPr="00BF3AE8">
              <w:rPr>
                <w:rFonts w:ascii="Arial" w:hAnsi="Arial" w:cs="Arial"/>
                <w:b/>
                <w:bCs/>
                <w:color w:val="215E99" w:themeColor="text2" w:themeTint="BF"/>
                <w:sz w:val="20"/>
                <w:szCs w:val="20"/>
              </w:rPr>
              <w:t xml:space="preserve"> (</w:t>
            </w:r>
            <w:r w:rsidR="005C300B" w:rsidRPr="00BF3AE8">
              <w:rPr>
                <w:rFonts w:ascii="Arial" w:hAnsi="Arial" w:cs="Arial"/>
                <w:b/>
                <w:bCs/>
                <w:color w:val="215E99" w:themeColor="text2" w:themeTint="BF"/>
                <w:sz w:val="20"/>
                <w:szCs w:val="20"/>
              </w:rPr>
              <w:t xml:space="preserve">salary </w:t>
            </w:r>
            <w:r w:rsidR="00DC7F29" w:rsidRPr="00BF3AE8">
              <w:rPr>
                <w:rFonts w:ascii="Arial" w:hAnsi="Arial" w:cs="Arial"/>
                <w:b/>
                <w:bCs/>
                <w:color w:val="215E99" w:themeColor="text2" w:themeTint="BF"/>
                <w:sz w:val="20"/>
                <w:szCs w:val="20"/>
              </w:rPr>
              <w:t>includes CPD)</w:t>
            </w:r>
          </w:p>
        </w:tc>
      </w:tr>
      <w:tr w:rsidR="00DC7F29" w:rsidRPr="001F0712" w14:paraId="4E81586D" w14:textId="77777777" w:rsidTr="00DC7F29">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597165B9" w14:textId="1339B541" w:rsidR="00DC7F29" w:rsidRPr="001F0712" w:rsidRDefault="00C940AA" w:rsidP="00DC7F29">
            <w:pPr>
              <w:spacing w:before="120" w:after="120"/>
              <w:contextualSpacing/>
              <w:rPr>
                <w:rFonts w:ascii="Arial" w:hAnsi="Arial" w:cs="Arial"/>
                <w:sz w:val="20"/>
                <w:szCs w:val="20"/>
              </w:rPr>
            </w:pPr>
            <w:r w:rsidRPr="001F0712">
              <w:rPr>
                <w:rFonts w:ascii="Arial" w:hAnsi="Arial" w:cs="Arial"/>
                <w:sz w:val="20"/>
                <w:szCs w:val="20"/>
              </w:rPr>
              <w:t>F</w:t>
            </w:r>
            <w:r>
              <w:rPr>
                <w:rFonts w:ascii="Arial" w:hAnsi="Arial" w:cs="Arial"/>
                <w:sz w:val="20"/>
                <w:szCs w:val="20"/>
              </w:rPr>
              <w:t>irefighter</w:t>
            </w:r>
            <w:r w:rsidRPr="001F0712">
              <w:rPr>
                <w:rFonts w:ascii="Arial" w:hAnsi="Arial" w:cs="Arial"/>
                <w:sz w:val="20"/>
                <w:szCs w:val="20"/>
              </w:rPr>
              <w:t xml:space="preserve"> </w:t>
            </w:r>
            <w:r w:rsidR="00DC7F29" w:rsidRPr="001F0712">
              <w:rPr>
                <w:rFonts w:ascii="Arial" w:hAnsi="Arial" w:cs="Arial"/>
                <w:sz w:val="20"/>
                <w:szCs w:val="20"/>
              </w:rPr>
              <w:t>(Control) Trainee</w:t>
            </w:r>
          </w:p>
        </w:tc>
        <w:tc>
          <w:tcPr>
            <w:tcW w:w="1134" w:type="dxa"/>
            <w:tcBorders>
              <w:top w:val="nil"/>
              <w:left w:val="nil"/>
              <w:bottom w:val="single" w:sz="8" w:space="0" w:color="BFBFBF"/>
              <w:right w:val="single" w:sz="8" w:space="0" w:color="BFBFBF"/>
            </w:tcBorders>
            <w:shd w:val="clear" w:color="000000" w:fill="FFFFFF"/>
            <w:noWrap/>
            <w:vAlign w:val="bottom"/>
          </w:tcPr>
          <w:p w14:paraId="6E5850EE" w14:textId="0F8842A1"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CO1</w:t>
            </w:r>
          </w:p>
        </w:tc>
        <w:tc>
          <w:tcPr>
            <w:tcW w:w="1275" w:type="dxa"/>
            <w:tcBorders>
              <w:top w:val="nil"/>
              <w:left w:val="nil"/>
              <w:bottom w:val="single" w:sz="8" w:space="0" w:color="BFBFBF"/>
              <w:right w:val="single" w:sz="8" w:space="0" w:color="BFBFBF"/>
            </w:tcBorders>
            <w:shd w:val="clear" w:color="000000" w:fill="FFFFFF"/>
            <w:noWrap/>
            <w:vAlign w:val="bottom"/>
          </w:tcPr>
          <w:p w14:paraId="4D25BBC9" w14:textId="60D0B569"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27,516</w:t>
            </w:r>
          </w:p>
        </w:tc>
        <w:tc>
          <w:tcPr>
            <w:tcW w:w="1295" w:type="dxa"/>
            <w:tcBorders>
              <w:top w:val="nil"/>
              <w:left w:val="nil"/>
              <w:bottom w:val="single" w:sz="8" w:space="0" w:color="BFBFBF"/>
              <w:right w:val="single" w:sz="8" w:space="0" w:color="BFBFBF"/>
            </w:tcBorders>
            <w:shd w:val="clear" w:color="FFFFFF" w:fill="FFFFFF"/>
            <w:noWrap/>
            <w:vAlign w:val="bottom"/>
          </w:tcPr>
          <w:p w14:paraId="3BA1FBA4" w14:textId="41CC5CAE"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3,377</w:t>
            </w:r>
          </w:p>
        </w:tc>
        <w:tc>
          <w:tcPr>
            <w:tcW w:w="1000" w:type="dxa"/>
            <w:tcBorders>
              <w:top w:val="nil"/>
              <w:left w:val="nil"/>
              <w:bottom w:val="single" w:sz="8" w:space="0" w:color="BFBFBF"/>
              <w:right w:val="single" w:sz="8" w:space="0" w:color="BFBFBF"/>
            </w:tcBorders>
            <w:shd w:val="clear" w:color="FFFFFF" w:fill="FFFFFF"/>
            <w:noWrap/>
            <w:vAlign w:val="bottom"/>
          </w:tcPr>
          <w:p w14:paraId="503F9273" w14:textId="580C4964"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4,898</w:t>
            </w:r>
          </w:p>
        </w:tc>
        <w:tc>
          <w:tcPr>
            <w:tcW w:w="1054" w:type="dxa"/>
            <w:tcBorders>
              <w:top w:val="nil"/>
              <w:left w:val="nil"/>
              <w:bottom w:val="single" w:sz="8" w:space="0" w:color="BFBFBF"/>
              <w:right w:val="single" w:sz="8" w:space="0" w:color="BFBFBF"/>
            </w:tcBorders>
            <w:shd w:val="clear" w:color="FFFFFF" w:fill="FFFFFF"/>
            <w:noWrap/>
            <w:vAlign w:val="bottom"/>
          </w:tcPr>
          <w:p w14:paraId="31E237BF" w14:textId="6A68546C"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35,791</w:t>
            </w:r>
          </w:p>
        </w:tc>
      </w:tr>
      <w:tr w:rsidR="00DC7F29" w:rsidRPr="001F0712" w14:paraId="2BD4561C" w14:textId="77777777" w:rsidTr="00DC7F29">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16E963F1" w14:textId="2345849D" w:rsidR="00DC7F29" w:rsidRPr="001F0712" w:rsidRDefault="00C940AA" w:rsidP="00DC7F29">
            <w:pPr>
              <w:spacing w:before="120" w:after="120"/>
              <w:contextualSpacing/>
              <w:rPr>
                <w:rFonts w:ascii="Arial" w:hAnsi="Arial" w:cs="Arial"/>
                <w:sz w:val="20"/>
                <w:szCs w:val="20"/>
              </w:rPr>
            </w:pPr>
            <w:r w:rsidRPr="001F0712">
              <w:rPr>
                <w:rFonts w:ascii="Arial" w:hAnsi="Arial" w:cs="Arial"/>
                <w:sz w:val="20"/>
                <w:szCs w:val="20"/>
              </w:rPr>
              <w:t>F</w:t>
            </w:r>
            <w:r>
              <w:rPr>
                <w:rFonts w:ascii="Arial" w:hAnsi="Arial" w:cs="Arial"/>
                <w:sz w:val="20"/>
                <w:szCs w:val="20"/>
              </w:rPr>
              <w:t>irefighter</w:t>
            </w:r>
            <w:r w:rsidRPr="001F0712">
              <w:rPr>
                <w:rFonts w:ascii="Arial" w:hAnsi="Arial" w:cs="Arial"/>
                <w:sz w:val="20"/>
                <w:szCs w:val="20"/>
              </w:rPr>
              <w:t xml:space="preserve"> </w:t>
            </w:r>
            <w:r w:rsidR="00DC7F29" w:rsidRPr="001F0712">
              <w:rPr>
                <w:rFonts w:ascii="Arial" w:hAnsi="Arial" w:cs="Arial"/>
                <w:sz w:val="20"/>
                <w:szCs w:val="20"/>
              </w:rPr>
              <w:t>(Control) dev</w:t>
            </w:r>
          </w:p>
        </w:tc>
        <w:tc>
          <w:tcPr>
            <w:tcW w:w="1134" w:type="dxa"/>
            <w:tcBorders>
              <w:top w:val="nil"/>
              <w:left w:val="nil"/>
              <w:bottom w:val="single" w:sz="8" w:space="0" w:color="BFBFBF"/>
              <w:right w:val="single" w:sz="8" w:space="0" w:color="BFBFBF"/>
            </w:tcBorders>
            <w:shd w:val="clear" w:color="000000" w:fill="FFFFFF"/>
            <w:noWrap/>
            <w:vAlign w:val="bottom"/>
          </w:tcPr>
          <w:p w14:paraId="12ABCA0D" w14:textId="79469B21"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CO2</w:t>
            </w:r>
          </w:p>
        </w:tc>
        <w:tc>
          <w:tcPr>
            <w:tcW w:w="1275" w:type="dxa"/>
            <w:tcBorders>
              <w:top w:val="nil"/>
              <w:left w:val="nil"/>
              <w:bottom w:val="single" w:sz="8" w:space="0" w:color="BFBFBF"/>
              <w:right w:val="single" w:sz="8" w:space="0" w:color="BFBFBF"/>
            </w:tcBorders>
            <w:shd w:val="clear" w:color="000000" w:fill="FFFFFF"/>
            <w:noWrap/>
            <w:vAlign w:val="bottom"/>
          </w:tcPr>
          <w:p w14:paraId="637322B9" w14:textId="3F7B9DEF"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28,634</w:t>
            </w:r>
          </w:p>
        </w:tc>
        <w:tc>
          <w:tcPr>
            <w:tcW w:w="1295" w:type="dxa"/>
            <w:tcBorders>
              <w:top w:val="nil"/>
              <w:left w:val="nil"/>
              <w:bottom w:val="single" w:sz="8" w:space="0" w:color="BFBFBF"/>
              <w:right w:val="single" w:sz="8" w:space="0" w:color="BFBFBF"/>
            </w:tcBorders>
            <w:shd w:val="clear" w:color="FFFFFF" w:fill="FFFFFF"/>
            <w:noWrap/>
            <w:vAlign w:val="bottom"/>
          </w:tcPr>
          <w:p w14:paraId="5307F06B" w14:textId="0466A67B"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3,545</w:t>
            </w:r>
          </w:p>
        </w:tc>
        <w:tc>
          <w:tcPr>
            <w:tcW w:w="1000" w:type="dxa"/>
            <w:tcBorders>
              <w:top w:val="nil"/>
              <w:left w:val="nil"/>
              <w:bottom w:val="single" w:sz="8" w:space="0" w:color="BFBFBF"/>
              <w:right w:val="single" w:sz="8" w:space="0" w:color="BFBFBF"/>
            </w:tcBorders>
            <w:shd w:val="clear" w:color="FFFFFF" w:fill="FFFFFF"/>
            <w:noWrap/>
            <w:vAlign w:val="bottom"/>
          </w:tcPr>
          <w:p w14:paraId="729F1135" w14:textId="710D6930"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5,097</w:t>
            </w:r>
          </w:p>
        </w:tc>
        <w:tc>
          <w:tcPr>
            <w:tcW w:w="1054" w:type="dxa"/>
            <w:tcBorders>
              <w:top w:val="nil"/>
              <w:left w:val="nil"/>
              <w:bottom w:val="single" w:sz="8" w:space="0" w:color="BFBFBF"/>
              <w:right w:val="single" w:sz="8" w:space="0" w:color="BFBFBF"/>
            </w:tcBorders>
            <w:shd w:val="clear" w:color="FFFFFF" w:fill="FFFFFF"/>
            <w:noWrap/>
            <w:vAlign w:val="bottom"/>
          </w:tcPr>
          <w:p w14:paraId="5B642460" w14:textId="2A895298"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37,276</w:t>
            </w:r>
          </w:p>
        </w:tc>
      </w:tr>
      <w:tr w:rsidR="00DC7F29" w:rsidRPr="001F0712" w14:paraId="78EFE448" w14:textId="77777777" w:rsidTr="00DC7F29">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09D2A963" w14:textId="13692F0E" w:rsidR="00DC7F29" w:rsidRPr="001F0712" w:rsidRDefault="00C940AA" w:rsidP="00DC7F29">
            <w:pPr>
              <w:spacing w:before="120" w:after="120"/>
              <w:contextualSpacing/>
              <w:rPr>
                <w:rFonts w:ascii="Arial" w:hAnsi="Arial" w:cs="Arial"/>
                <w:sz w:val="20"/>
                <w:szCs w:val="20"/>
              </w:rPr>
            </w:pPr>
            <w:r w:rsidRPr="001F0712">
              <w:rPr>
                <w:rFonts w:ascii="Arial" w:hAnsi="Arial" w:cs="Arial"/>
                <w:sz w:val="20"/>
                <w:szCs w:val="20"/>
              </w:rPr>
              <w:t>F</w:t>
            </w:r>
            <w:r>
              <w:rPr>
                <w:rFonts w:ascii="Arial" w:hAnsi="Arial" w:cs="Arial"/>
                <w:sz w:val="20"/>
                <w:szCs w:val="20"/>
              </w:rPr>
              <w:t>irefighter</w:t>
            </w:r>
            <w:r w:rsidRPr="001F0712">
              <w:rPr>
                <w:rFonts w:ascii="Arial" w:hAnsi="Arial" w:cs="Arial"/>
                <w:sz w:val="20"/>
                <w:szCs w:val="20"/>
              </w:rPr>
              <w:t xml:space="preserve"> </w:t>
            </w:r>
            <w:r w:rsidR="00DC7F29" w:rsidRPr="001F0712">
              <w:rPr>
                <w:rFonts w:ascii="Arial" w:hAnsi="Arial" w:cs="Arial"/>
                <w:sz w:val="20"/>
                <w:szCs w:val="20"/>
              </w:rPr>
              <w:t>(Control) comp</w:t>
            </w:r>
          </w:p>
        </w:tc>
        <w:tc>
          <w:tcPr>
            <w:tcW w:w="1134" w:type="dxa"/>
            <w:tcBorders>
              <w:top w:val="nil"/>
              <w:left w:val="nil"/>
              <w:bottom w:val="single" w:sz="8" w:space="0" w:color="BFBFBF"/>
              <w:right w:val="single" w:sz="8" w:space="0" w:color="BFBFBF"/>
            </w:tcBorders>
            <w:shd w:val="clear" w:color="000000" w:fill="FFFFFF"/>
            <w:noWrap/>
            <w:vAlign w:val="bottom"/>
          </w:tcPr>
          <w:p w14:paraId="71B8E5E5" w14:textId="184CC796"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CO3</w:t>
            </w:r>
          </w:p>
        </w:tc>
        <w:tc>
          <w:tcPr>
            <w:tcW w:w="1275" w:type="dxa"/>
            <w:tcBorders>
              <w:top w:val="nil"/>
              <w:left w:val="nil"/>
              <w:bottom w:val="single" w:sz="8" w:space="0" w:color="BFBFBF"/>
              <w:right w:val="single" w:sz="8" w:space="0" w:color="BFBFBF"/>
            </w:tcBorders>
            <w:shd w:val="clear" w:color="000000" w:fill="FFFFFF"/>
            <w:noWrap/>
            <w:vAlign w:val="bottom"/>
          </w:tcPr>
          <w:p w14:paraId="5D588577" w14:textId="71326A4E"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36,455</w:t>
            </w:r>
          </w:p>
        </w:tc>
        <w:tc>
          <w:tcPr>
            <w:tcW w:w="1295" w:type="dxa"/>
            <w:tcBorders>
              <w:top w:val="nil"/>
              <w:left w:val="nil"/>
              <w:bottom w:val="single" w:sz="8" w:space="0" w:color="BFBFBF"/>
              <w:right w:val="single" w:sz="8" w:space="0" w:color="BFBFBF"/>
            </w:tcBorders>
            <w:shd w:val="clear" w:color="FFFFFF" w:fill="FFFFFF"/>
            <w:noWrap/>
            <w:vAlign w:val="bottom"/>
          </w:tcPr>
          <w:p w14:paraId="28050910" w14:textId="3625316A"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4,718</w:t>
            </w:r>
          </w:p>
        </w:tc>
        <w:tc>
          <w:tcPr>
            <w:tcW w:w="1000" w:type="dxa"/>
            <w:tcBorders>
              <w:top w:val="nil"/>
              <w:left w:val="nil"/>
              <w:bottom w:val="single" w:sz="8" w:space="0" w:color="BFBFBF"/>
              <w:right w:val="single" w:sz="8" w:space="0" w:color="BFBFBF"/>
            </w:tcBorders>
            <w:shd w:val="clear" w:color="FFFFFF" w:fill="FFFFFF"/>
            <w:noWrap/>
            <w:vAlign w:val="bottom"/>
          </w:tcPr>
          <w:p w14:paraId="643974B1" w14:textId="4BE58BBE"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6,489</w:t>
            </w:r>
          </w:p>
        </w:tc>
        <w:tc>
          <w:tcPr>
            <w:tcW w:w="1054" w:type="dxa"/>
            <w:tcBorders>
              <w:top w:val="nil"/>
              <w:left w:val="nil"/>
              <w:bottom w:val="single" w:sz="8" w:space="0" w:color="BFBFBF"/>
              <w:right w:val="single" w:sz="8" w:space="0" w:color="BFBFBF"/>
            </w:tcBorders>
            <w:shd w:val="clear" w:color="FFFFFF" w:fill="FFFFFF"/>
            <w:noWrap/>
            <w:vAlign w:val="bottom"/>
          </w:tcPr>
          <w:p w14:paraId="0B3E87E4" w14:textId="402EE8DE"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47,662</w:t>
            </w:r>
          </w:p>
        </w:tc>
      </w:tr>
      <w:tr w:rsidR="00DC7F29" w:rsidRPr="001F0712" w14:paraId="6C768CA9" w14:textId="77777777" w:rsidTr="00DC7F29">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64AFEC6A" w14:textId="0F6E1FF0" w:rsidR="00DC7F29" w:rsidRPr="001F0712" w:rsidRDefault="00DC7F29" w:rsidP="00DC7F29">
            <w:pPr>
              <w:spacing w:before="120" w:after="120"/>
              <w:contextualSpacing/>
              <w:rPr>
                <w:rFonts w:ascii="Arial" w:hAnsi="Arial" w:cs="Arial"/>
                <w:sz w:val="20"/>
                <w:szCs w:val="20"/>
              </w:rPr>
            </w:pPr>
            <w:r w:rsidRPr="001F0712">
              <w:rPr>
                <w:rFonts w:ascii="Arial" w:hAnsi="Arial" w:cs="Arial"/>
                <w:sz w:val="20"/>
                <w:szCs w:val="20"/>
              </w:rPr>
              <w:t>Crew Manager (Control) dev</w:t>
            </w:r>
          </w:p>
        </w:tc>
        <w:tc>
          <w:tcPr>
            <w:tcW w:w="1134" w:type="dxa"/>
            <w:tcBorders>
              <w:top w:val="nil"/>
              <w:left w:val="nil"/>
              <w:bottom w:val="single" w:sz="8" w:space="0" w:color="BFBFBF"/>
              <w:right w:val="single" w:sz="8" w:space="0" w:color="BFBFBF"/>
            </w:tcBorders>
            <w:shd w:val="clear" w:color="000000" w:fill="FFFFFF"/>
            <w:noWrap/>
            <w:vAlign w:val="bottom"/>
          </w:tcPr>
          <w:p w14:paraId="4C0D7DBE" w14:textId="6C05B1D3"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CO-CM1</w:t>
            </w:r>
          </w:p>
        </w:tc>
        <w:tc>
          <w:tcPr>
            <w:tcW w:w="1275" w:type="dxa"/>
            <w:tcBorders>
              <w:top w:val="nil"/>
              <w:left w:val="nil"/>
              <w:bottom w:val="single" w:sz="8" w:space="0" w:color="BFBFBF"/>
              <w:right w:val="single" w:sz="8" w:space="0" w:color="BFBFBF"/>
            </w:tcBorders>
            <w:shd w:val="clear" w:color="000000" w:fill="FFFFFF"/>
            <w:noWrap/>
            <w:vAlign w:val="bottom"/>
          </w:tcPr>
          <w:p w14:paraId="3C9DB6B1" w14:textId="62A85541"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38,703</w:t>
            </w:r>
          </w:p>
        </w:tc>
        <w:tc>
          <w:tcPr>
            <w:tcW w:w="1295" w:type="dxa"/>
            <w:tcBorders>
              <w:top w:val="nil"/>
              <w:left w:val="nil"/>
              <w:bottom w:val="single" w:sz="8" w:space="0" w:color="BFBFBF"/>
              <w:right w:val="single" w:sz="8" w:space="0" w:color="BFBFBF"/>
            </w:tcBorders>
            <w:shd w:val="clear" w:color="FFFFFF" w:fill="FFFFFF"/>
            <w:noWrap/>
            <w:vAlign w:val="bottom"/>
          </w:tcPr>
          <w:p w14:paraId="097687E2" w14:textId="6EDB78D3"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5,055</w:t>
            </w:r>
          </w:p>
        </w:tc>
        <w:tc>
          <w:tcPr>
            <w:tcW w:w="1000" w:type="dxa"/>
            <w:tcBorders>
              <w:top w:val="nil"/>
              <w:left w:val="nil"/>
              <w:bottom w:val="single" w:sz="8" w:space="0" w:color="BFBFBF"/>
              <w:right w:val="single" w:sz="8" w:space="0" w:color="BFBFBF"/>
            </w:tcBorders>
            <w:shd w:val="clear" w:color="FFFFFF" w:fill="FFFFFF"/>
            <w:noWrap/>
            <w:vAlign w:val="bottom"/>
          </w:tcPr>
          <w:p w14:paraId="2347ABF1" w14:textId="74B72B2A"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6,889</w:t>
            </w:r>
          </w:p>
        </w:tc>
        <w:tc>
          <w:tcPr>
            <w:tcW w:w="1054" w:type="dxa"/>
            <w:tcBorders>
              <w:top w:val="nil"/>
              <w:left w:val="nil"/>
              <w:bottom w:val="single" w:sz="8" w:space="0" w:color="BFBFBF"/>
              <w:right w:val="single" w:sz="8" w:space="0" w:color="BFBFBF"/>
            </w:tcBorders>
            <w:shd w:val="clear" w:color="FFFFFF" w:fill="FFFFFF"/>
            <w:noWrap/>
            <w:vAlign w:val="bottom"/>
          </w:tcPr>
          <w:p w14:paraId="0F9BF0EE" w14:textId="31FFD57B"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50,647</w:t>
            </w:r>
          </w:p>
        </w:tc>
      </w:tr>
      <w:tr w:rsidR="00DC7F29" w:rsidRPr="001F0712" w14:paraId="58152FB8" w14:textId="77777777" w:rsidTr="00DC7F29">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0E70071C" w14:textId="430FC5E9" w:rsidR="00DC7F29" w:rsidRPr="001F0712" w:rsidRDefault="00DC7F29" w:rsidP="00DC7F29">
            <w:pPr>
              <w:spacing w:before="120" w:after="120"/>
              <w:contextualSpacing/>
              <w:rPr>
                <w:rFonts w:ascii="Arial" w:hAnsi="Arial" w:cs="Arial"/>
                <w:sz w:val="20"/>
                <w:szCs w:val="20"/>
              </w:rPr>
            </w:pPr>
            <w:r w:rsidRPr="001F0712">
              <w:rPr>
                <w:rFonts w:ascii="Arial" w:hAnsi="Arial" w:cs="Arial"/>
                <w:sz w:val="20"/>
                <w:szCs w:val="20"/>
              </w:rPr>
              <w:t>Crew Manager (Control) comp</w:t>
            </w:r>
          </w:p>
        </w:tc>
        <w:tc>
          <w:tcPr>
            <w:tcW w:w="1134" w:type="dxa"/>
            <w:tcBorders>
              <w:top w:val="nil"/>
              <w:left w:val="nil"/>
              <w:bottom w:val="single" w:sz="8" w:space="0" w:color="BFBFBF"/>
              <w:right w:val="single" w:sz="8" w:space="0" w:color="BFBFBF"/>
            </w:tcBorders>
            <w:shd w:val="clear" w:color="000000" w:fill="FFFFFF"/>
            <w:noWrap/>
            <w:vAlign w:val="bottom"/>
          </w:tcPr>
          <w:p w14:paraId="7ACD7357" w14:textId="29670B7D"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CO-CM2</w:t>
            </w:r>
          </w:p>
        </w:tc>
        <w:tc>
          <w:tcPr>
            <w:tcW w:w="1275" w:type="dxa"/>
            <w:tcBorders>
              <w:top w:val="nil"/>
              <w:left w:val="nil"/>
              <w:bottom w:val="single" w:sz="8" w:space="0" w:color="BFBFBF"/>
              <w:right w:val="single" w:sz="8" w:space="0" w:color="BFBFBF"/>
            </w:tcBorders>
            <w:shd w:val="clear" w:color="000000" w:fill="FFFFFF"/>
            <w:noWrap/>
            <w:vAlign w:val="bottom"/>
          </w:tcPr>
          <w:p w14:paraId="36CEDD52" w14:textId="3EADA6D3"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40,340</w:t>
            </w:r>
          </w:p>
        </w:tc>
        <w:tc>
          <w:tcPr>
            <w:tcW w:w="1295" w:type="dxa"/>
            <w:tcBorders>
              <w:top w:val="nil"/>
              <w:left w:val="nil"/>
              <w:bottom w:val="single" w:sz="8" w:space="0" w:color="BFBFBF"/>
              <w:right w:val="single" w:sz="8" w:space="0" w:color="BFBFBF"/>
            </w:tcBorders>
            <w:shd w:val="clear" w:color="FFFFFF" w:fill="FFFFFF"/>
            <w:noWrap/>
            <w:vAlign w:val="bottom"/>
          </w:tcPr>
          <w:p w14:paraId="390D716D" w14:textId="26E5D002"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5,301</w:t>
            </w:r>
          </w:p>
        </w:tc>
        <w:tc>
          <w:tcPr>
            <w:tcW w:w="1000" w:type="dxa"/>
            <w:tcBorders>
              <w:top w:val="nil"/>
              <w:left w:val="nil"/>
              <w:bottom w:val="single" w:sz="8" w:space="0" w:color="BFBFBF"/>
              <w:right w:val="single" w:sz="8" w:space="0" w:color="BFBFBF"/>
            </w:tcBorders>
            <w:shd w:val="clear" w:color="FFFFFF" w:fill="FFFFFF"/>
            <w:noWrap/>
            <w:vAlign w:val="bottom"/>
          </w:tcPr>
          <w:p w14:paraId="53C525E2" w14:textId="5969B105"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7,181</w:t>
            </w:r>
          </w:p>
        </w:tc>
        <w:tc>
          <w:tcPr>
            <w:tcW w:w="1054" w:type="dxa"/>
            <w:tcBorders>
              <w:top w:val="nil"/>
              <w:left w:val="nil"/>
              <w:bottom w:val="single" w:sz="8" w:space="0" w:color="BFBFBF"/>
              <w:right w:val="single" w:sz="8" w:space="0" w:color="BFBFBF"/>
            </w:tcBorders>
            <w:shd w:val="clear" w:color="FFFFFF" w:fill="FFFFFF"/>
            <w:noWrap/>
            <w:vAlign w:val="bottom"/>
          </w:tcPr>
          <w:p w14:paraId="4D4B2D49" w14:textId="46B8F3EB"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52,822</w:t>
            </w:r>
          </w:p>
        </w:tc>
      </w:tr>
      <w:tr w:rsidR="00DC7F29" w:rsidRPr="001F0712" w14:paraId="3626855E" w14:textId="77777777" w:rsidTr="00DC7F29">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334822CF" w14:textId="574D9FC6" w:rsidR="00DC7F29" w:rsidRPr="001F0712" w:rsidRDefault="00DC7F29" w:rsidP="00DC7F29">
            <w:pPr>
              <w:spacing w:before="120" w:after="120"/>
              <w:contextualSpacing/>
              <w:rPr>
                <w:rFonts w:ascii="Arial" w:hAnsi="Arial" w:cs="Arial"/>
                <w:sz w:val="20"/>
                <w:szCs w:val="20"/>
              </w:rPr>
            </w:pPr>
            <w:r w:rsidRPr="001F0712">
              <w:rPr>
                <w:rFonts w:ascii="Arial" w:hAnsi="Arial" w:cs="Arial"/>
                <w:sz w:val="20"/>
                <w:szCs w:val="20"/>
              </w:rPr>
              <w:t>Watch Manager (Control) dev</w:t>
            </w:r>
          </w:p>
        </w:tc>
        <w:tc>
          <w:tcPr>
            <w:tcW w:w="1134" w:type="dxa"/>
            <w:tcBorders>
              <w:top w:val="nil"/>
              <w:left w:val="nil"/>
              <w:bottom w:val="single" w:sz="8" w:space="0" w:color="BFBFBF"/>
              <w:right w:val="single" w:sz="8" w:space="0" w:color="BFBFBF"/>
            </w:tcBorders>
            <w:shd w:val="clear" w:color="000000" w:fill="FFFFFF"/>
            <w:noWrap/>
            <w:vAlign w:val="bottom"/>
          </w:tcPr>
          <w:p w14:paraId="716C39B6" w14:textId="6B6CFE31"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CO-WM1</w:t>
            </w:r>
          </w:p>
        </w:tc>
        <w:tc>
          <w:tcPr>
            <w:tcW w:w="1275" w:type="dxa"/>
            <w:tcBorders>
              <w:top w:val="nil"/>
              <w:left w:val="nil"/>
              <w:bottom w:val="single" w:sz="8" w:space="0" w:color="BFBFBF"/>
              <w:right w:val="single" w:sz="8" w:space="0" w:color="BFBFBF"/>
            </w:tcBorders>
            <w:shd w:val="clear" w:color="000000" w:fill="FFFFFF"/>
            <w:noWrap/>
            <w:vAlign w:val="bottom"/>
          </w:tcPr>
          <w:p w14:paraId="5FEEE524" w14:textId="407255D0"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41,202</w:t>
            </w:r>
          </w:p>
        </w:tc>
        <w:tc>
          <w:tcPr>
            <w:tcW w:w="1295" w:type="dxa"/>
            <w:tcBorders>
              <w:top w:val="nil"/>
              <w:left w:val="nil"/>
              <w:bottom w:val="single" w:sz="8" w:space="0" w:color="BFBFBF"/>
              <w:right w:val="single" w:sz="8" w:space="0" w:color="BFBFBF"/>
            </w:tcBorders>
            <w:shd w:val="clear" w:color="FFFFFF" w:fill="FFFFFF"/>
            <w:noWrap/>
            <w:vAlign w:val="bottom"/>
          </w:tcPr>
          <w:p w14:paraId="6AD970D0" w14:textId="7D52E56D"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5,430</w:t>
            </w:r>
          </w:p>
        </w:tc>
        <w:tc>
          <w:tcPr>
            <w:tcW w:w="1000" w:type="dxa"/>
            <w:tcBorders>
              <w:top w:val="nil"/>
              <w:left w:val="nil"/>
              <w:bottom w:val="single" w:sz="8" w:space="0" w:color="BFBFBF"/>
              <w:right w:val="single" w:sz="8" w:space="0" w:color="BFBFBF"/>
            </w:tcBorders>
            <w:shd w:val="clear" w:color="FFFFFF" w:fill="FFFFFF"/>
            <w:noWrap/>
            <w:vAlign w:val="bottom"/>
          </w:tcPr>
          <w:p w14:paraId="32C9DA7E" w14:textId="173AA5CC"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7,334</w:t>
            </w:r>
          </w:p>
        </w:tc>
        <w:tc>
          <w:tcPr>
            <w:tcW w:w="1054" w:type="dxa"/>
            <w:tcBorders>
              <w:top w:val="nil"/>
              <w:left w:val="nil"/>
              <w:bottom w:val="single" w:sz="8" w:space="0" w:color="BFBFBF"/>
              <w:right w:val="single" w:sz="8" w:space="0" w:color="BFBFBF"/>
            </w:tcBorders>
            <w:shd w:val="clear" w:color="FFFFFF" w:fill="FFFFFF"/>
            <w:noWrap/>
            <w:vAlign w:val="bottom"/>
          </w:tcPr>
          <w:p w14:paraId="04CFE23A" w14:textId="404B1E3E"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53,966</w:t>
            </w:r>
          </w:p>
        </w:tc>
      </w:tr>
      <w:tr w:rsidR="001769EC" w:rsidRPr="001F0712" w14:paraId="2AD423D7" w14:textId="77777777" w:rsidTr="00DA0B69">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4A67DB14" w14:textId="4481814F" w:rsidR="001769EC" w:rsidRPr="001769EC" w:rsidRDefault="001769EC" w:rsidP="00DC7F29">
            <w:pPr>
              <w:spacing w:before="120" w:after="120"/>
              <w:contextualSpacing/>
              <w:rPr>
                <w:rFonts w:ascii="Arial" w:hAnsi="Arial" w:cs="Arial"/>
                <w:color w:val="747474" w:themeColor="background2" w:themeShade="80"/>
                <w:sz w:val="20"/>
                <w:szCs w:val="20"/>
              </w:rPr>
            </w:pPr>
            <w:r w:rsidRPr="001769EC">
              <w:rPr>
                <w:rFonts w:ascii="Arial" w:hAnsi="Arial" w:cs="Arial"/>
                <w:color w:val="747474" w:themeColor="background2" w:themeShade="80"/>
                <w:sz w:val="20"/>
                <w:szCs w:val="20"/>
              </w:rPr>
              <w:t>Watch Manager (Control) comp A</w:t>
            </w:r>
          </w:p>
        </w:tc>
        <w:tc>
          <w:tcPr>
            <w:tcW w:w="5758" w:type="dxa"/>
            <w:gridSpan w:val="5"/>
            <w:tcBorders>
              <w:top w:val="nil"/>
              <w:left w:val="nil"/>
              <w:bottom w:val="single" w:sz="8" w:space="0" w:color="BFBFBF"/>
              <w:right w:val="single" w:sz="8" w:space="0" w:color="BFBFBF"/>
            </w:tcBorders>
            <w:shd w:val="clear" w:color="000000" w:fill="FFFFFF"/>
            <w:noWrap/>
            <w:vAlign w:val="bottom"/>
          </w:tcPr>
          <w:p w14:paraId="302587B6" w14:textId="2F9BF965" w:rsidR="001769EC" w:rsidRPr="00652CC6" w:rsidRDefault="001769EC" w:rsidP="00DC7F29">
            <w:pPr>
              <w:spacing w:before="120" w:after="120"/>
              <w:contextualSpacing/>
              <w:jc w:val="center"/>
              <w:rPr>
                <w:rFonts w:ascii="Arial" w:hAnsi="Arial" w:cs="Arial"/>
                <w:color w:val="FF0000"/>
                <w:sz w:val="20"/>
                <w:szCs w:val="20"/>
              </w:rPr>
            </w:pPr>
            <w:r w:rsidRPr="001769EC">
              <w:rPr>
                <w:rFonts w:ascii="Arial" w:hAnsi="Arial" w:cs="Arial"/>
                <w:i/>
                <w:iCs/>
                <w:color w:val="747474" w:themeColor="background2" w:themeShade="80"/>
                <w:sz w:val="20"/>
                <w:szCs w:val="20"/>
              </w:rPr>
              <w:t>Not used</w:t>
            </w:r>
          </w:p>
        </w:tc>
      </w:tr>
      <w:tr w:rsidR="00DC7F29" w:rsidRPr="001F0712" w14:paraId="18954C37" w14:textId="77777777" w:rsidTr="00DC7F29">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714BA182" w14:textId="40758C34" w:rsidR="00DC7F29" w:rsidRPr="001F0712" w:rsidRDefault="00DC7F29" w:rsidP="00DC7F29">
            <w:pPr>
              <w:spacing w:before="120" w:after="120"/>
              <w:contextualSpacing/>
              <w:rPr>
                <w:rFonts w:ascii="Arial" w:hAnsi="Arial" w:cs="Arial"/>
                <w:sz w:val="20"/>
                <w:szCs w:val="20"/>
              </w:rPr>
            </w:pPr>
            <w:r w:rsidRPr="001F0712">
              <w:rPr>
                <w:rFonts w:ascii="Arial" w:hAnsi="Arial" w:cs="Arial"/>
                <w:sz w:val="20"/>
                <w:szCs w:val="20"/>
              </w:rPr>
              <w:t>Watch Manager (Control) comp B</w:t>
            </w:r>
          </w:p>
        </w:tc>
        <w:tc>
          <w:tcPr>
            <w:tcW w:w="1134" w:type="dxa"/>
            <w:tcBorders>
              <w:top w:val="nil"/>
              <w:left w:val="nil"/>
              <w:bottom w:val="single" w:sz="8" w:space="0" w:color="BFBFBF"/>
              <w:right w:val="single" w:sz="8" w:space="0" w:color="BFBFBF"/>
            </w:tcBorders>
            <w:shd w:val="clear" w:color="000000" w:fill="FFFFFF"/>
            <w:noWrap/>
            <w:vAlign w:val="bottom"/>
          </w:tcPr>
          <w:p w14:paraId="7D7FDA28" w14:textId="09155AFF"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CO-WM3</w:t>
            </w:r>
          </w:p>
        </w:tc>
        <w:tc>
          <w:tcPr>
            <w:tcW w:w="1275" w:type="dxa"/>
            <w:tcBorders>
              <w:top w:val="nil"/>
              <w:left w:val="nil"/>
              <w:bottom w:val="single" w:sz="8" w:space="0" w:color="BFBFBF"/>
              <w:right w:val="single" w:sz="8" w:space="0" w:color="BFBFBF"/>
            </w:tcBorders>
            <w:shd w:val="clear" w:color="000000" w:fill="FFFFFF"/>
            <w:noWrap/>
            <w:vAlign w:val="bottom"/>
          </w:tcPr>
          <w:p w14:paraId="2CE119F5" w14:textId="68922F21"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45,036</w:t>
            </w:r>
          </w:p>
        </w:tc>
        <w:tc>
          <w:tcPr>
            <w:tcW w:w="1295" w:type="dxa"/>
            <w:tcBorders>
              <w:top w:val="nil"/>
              <w:left w:val="nil"/>
              <w:bottom w:val="single" w:sz="8" w:space="0" w:color="BFBFBF"/>
              <w:right w:val="single" w:sz="8" w:space="0" w:color="BFBFBF"/>
            </w:tcBorders>
            <w:shd w:val="clear" w:color="FFFFFF" w:fill="FFFFFF"/>
            <w:noWrap/>
            <w:vAlign w:val="bottom"/>
          </w:tcPr>
          <w:p w14:paraId="52AD955C" w14:textId="4B26EAE4"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6,005</w:t>
            </w:r>
          </w:p>
        </w:tc>
        <w:tc>
          <w:tcPr>
            <w:tcW w:w="1000" w:type="dxa"/>
            <w:tcBorders>
              <w:top w:val="nil"/>
              <w:left w:val="nil"/>
              <w:bottom w:val="single" w:sz="8" w:space="0" w:color="BFBFBF"/>
              <w:right w:val="single" w:sz="8" w:space="0" w:color="BFBFBF"/>
            </w:tcBorders>
            <w:shd w:val="clear" w:color="FFFFFF" w:fill="FFFFFF"/>
            <w:noWrap/>
            <w:vAlign w:val="bottom"/>
          </w:tcPr>
          <w:p w14:paraId="6847BD97" w14:textId="2F0E07DE"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8,016</w:t>
            </w:r>
          </w:p>
        </w:tc>
        <w:tc>
          <w:tcPr>
            <w:tcW w:w="1054" w:type="dxa"/>
            <w:tcBorders>
              <w:top w:val="nil"/>
              <w:left w:val="nil"/>
              <w:bottom w:val="single" w:sz="8" w:space="0" w:color="BFBFBF"/>
              <w:right w:val="single" w:sz="8" w:space="0" w:color="BFBFBF"/>
            </w:tcBorders>
            <w:shd w:val="clear" w:color="FFFFFF" w:fill="FFFFFF"/>
            <w:noWrap/>
            <w:vAlign w:val="bottom"/>
          </w:tcPr>
          <w:p w14:paraId="23413B86" w14:textId="48509DB9"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59,057</w:t>
            </w:r>
          </w:p>
        </w:tc>
      </w:tr>
      <w:tr w:rsidR="00DC7F29" w:rsidRPr="001F0712" w14:paraId="0357C9D6" w14:textId="77777777" w:rsidTr="00DC7F29">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7066D53D" w14:textId="7E21412C" w:rsidR="00DC7F29" w:rsidRPr="001F0712" w:rsidRDefault="00DC7F29" w:rsidP="00DC7F29">
            <w:pPr>
              <w:spacing w:before="120" w:after="120"/>
              <w:contextualSpacing/>
              <w:rPr>
                <w:rFonts w:ascii="Arial" w:hAnsi="Arial" w:cs="Arial"/>
                <w:sz w:val="20"/>
                <w:szCs w:val="20"/>
              </w:rPr>
            </w:pPr>
            <w:r w:rsidRPr="001F0712">
              <w:rPr>
                <w:rFonts w:ascii="Arial" w:hAnsi="Arial" w:cs="Arial"/>
                <w:sz w:val="20"/>
                <w:szCs w:val="20"/>
              </w:rPr>
              <w:t>Station Manager (Control) dev</w:t>
            </w:r>
          </w:p>
        </w:tc>
        <w:tc>
          <w:tcPr>
            <w:tcW w:w="1134" w:type="dxa"/>
            <w:tcBorders>
              <w:top w:val="nil"/>
              <w:left w:val="nil"/>
              <w:bottom w:val="single" w:sz="8" w:space="0" w:color="BFBFBF"/>
              <w:right w:val="single" w:sz="8" w:space="0" w:color="BFBFBF"/>
            </w:tcBorders>
            <w:shd w:val="clear" w:color="000000" w:fill="FFFFFF"/>
            <w:noWrap/>
            <w:vAlign w:val="bottom"/>
          </w:tcPr>
          <w:p w14:paraId="340F8045" w14:textId="195ED53B"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CO-SM1</w:t>
            </w:r>
          </w:p>
        </w:tc>
        <w:tc>
          <w:tcPr>
            <w:tcW w:w="1275" w:type="dxa"/>
            <w:tcBorders>
              <w:top w:val="nil"/>
              <w:left w:val="nil"/>
              <w:bottom w:val="single" w:sz="8" w:space="0" w:color="BFBFBF"/>
              <w:right w:val="single" w:sz="8" w:space="0" w:color="BFBFBF"/>
            </w:tcBorders>
            <w:shd w:val="clear" w:color="000000" w:fill="FFFFFF"/>
            <w:noWrap/>
            <w:vAlign w:val="bottom"/>
          </w:tcPr>
          <w:p w14:paraId="51B89B53" w14:textId="57BFA663"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46,815</w:t>
            </w:r>
          </w:p>
        </w:tc>
        <w:tc>
          <w:tcPr>
            <w:tcW w:w="1295" w:type="dxa"/>
            <w:tcBorders>
              <w:top w:val="nil"/>
              <w:left w:val="nil"/>
              <w:bottom w:val="single" w:sz="8" w:space="0" w:color="BFBFBF"/>
              <w:right w:val="single" w:sz="8" w:space="0" w:color="BFBFBF"/>
            </w:tcBorders>
            <w:shd w:val="clear" w:color="FFFFFF" w:fill="FFFFFF"/>
            <w:noWrap/>
            <w:vAlign w:val="bottom"/>
          </w:tcPr>
          <w:p w14:paraId="322BAB33" w14:textId="6E5EF82F"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6,272</w:t>
            </w:r>
          </w:p>
        </w:tc>
        <w:tc>
          <w:tcPr>
            <w:tcW w:w="1000" w:type="dxa"/>
            <w:tcBorders>
              <w:top w:val="nil"/>
              <w:left w:val="nil"/>
              <w:bottom w:val="single" w:sz="8" w:space="0" w:color="BFBFBF"/>
              <w:right w:val="single" w:sz="8" w:space="0" w:color="BFBFBF"/>
            </w:tcBorders>
            <w:shd w:val="clear" w:color="FFFFFF" w:fill="FFFFFF"/>
            <w:noWrap/>
            <w:vAlign w:val="bottom"/>
          </w:tcPr>
          <w:p w14:paraId="50539A85" w14:textId="4C640335"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8,333</w:t>
            </w:r>
          </w:p>
        </w:tc>
        <w:tc>
          <w:tcPr>
            <w:tcW w:w="1054" w:type="dxa"/>
            <w:tcBorders>
              <w:top w:val="nil"/>
              <w:left w:val="nil"/>
              <w:bottom w:val="single" w:sz="8" w:space="0" w:color="BFBFBF"/>
              <w:right w:val="single" w:sz="8" w:space="0" w:color="BFBFBF"/>
            </w:tcBorders>
            <w:shd w:val="clear" w:color="FFFFFF" w:fill="FFFFFF"/>
            <w:noWrap/>
            <w:vAlign w:val="bottom"/>
          </w:tcPr>
          <w:p w14:paraId="325BB5BC" w14:textId="33DBE3E4"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61,420</w:t>
            </w:r>
          </w:p>
        </w:tc>
      </w:tr>
      <w:tr w:rsidR="001769EC" w:rsidRPr="001F0712" w14:paraId="504BDD07" w14:textId="77777777" w:rsidTr="00055670">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332B5D7D" w14:textId="6DFAE2D6" w:rsidR="001769EC" w:rsidRPr="001769EC" w:rsidRDefault="001769EC" w:rsidP="00DC7F29">
            <w:pPr>
              <w:spacing w:before="120" w:after="120"/>
              <w:contextualSpacing/>
              <w:rPr>
                <w:rFonts w:ascii="Arial" w:hAnsi="Arial" w:cs="Arial"/>
                <w:color w:val="747474" w:themeColor="background2" w:themeShade="80"/>
                <w:sz w:val="20"/>
                <w:szCs w:val="20"/>
              </w:rPr>
            </w:pPr>
            <w:r w:rsidRPr="001769EC">
              <w:rPr>
                <w:rFonts w:ascii="Arial" w:hAnsi="Arial" w:cs="Arial"/>
                <w:color w:val="747474" w:themeColor="background2" w:themeShade="80"/>
                <w:sz w:val="20"/>
                <w:szCs w:val="20"/>
              </w:rPr>
              <w:t>Station Manager (Control) comp A</w:t>
            </w:r>
          </w:p>
        </w:tc>
        <w:tc>
          <w:tcPr>
            <w:tcW w:w="5758" w:type="dxa"/>
            <w:gridSpan w:val="5"/>
            <w:tcBorders>
              <w:top w:val="nil"/>
              <w:left w:val="nil"/>
              <w:bottom w:val="single" w:sz="8" w:space="0" w:color="BFBFBF"/>
              <w:right w:val="single" w:sz="8" w:space="0" w:color="BFBFBF"/>
            </w:tcBorders>
            <w:shd w:val="clear" w:color="000000" w:fill="FFFFFF"/>
            <w:noWrap/>
            <w:vAlign w:val="bottom"/>
          </w:tcPr>
          <w:p w14:paraId="56CB4CBD" w14:textId="6E0DC52F" w:rsidR="001769EC" w:rsidRPr="00652CC6" w:rsidRDefault="001769EC" w:rsidP="00DC7F29">
            <w:pPr>
              <w:spacing w:before="120" w:after="120"/>
              <w:contextualSpacing/>
              <w:jc w:val="center"/>
              <w:rPr>
                <w:rFonts w:ascii="Arial" w:hAnsi="Arial" w:cs="Arial"/>
                <w:color w:val="FF0000"/>
                <w:sz w:val="20"/>
                <w:szCs w:val="20"/>
              </w:rPr>
            </w:pPr>
            <w:r w:rsidRPr="001769EC">
              <w:rPr>
                <w:rFonts w:ascii="Arial" w:hAnsi="Arial" w:cs="Arial"/>
                <w:i/>
                <w:iCs/>
                <w:color w:val="747474" w:themeColor="background2" w:themeShade="80"/>
                <w:sz w:val="20"/>
                <w:szCs w:val="20"/>
              </w:rPr>
              <w:t>Not used</w:t>
            </w:r>
          </w:p>
        </w:tc>
      </w:tr>
      <w:tr w:rsidR="00DC7F29" w:rsidRPr="001F0712" w14:paraId="1F7FEBA8" w14:textId="77777777" w:rsidTr="00DC7F29">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14CBAFFF" w14:textId="57260BB3" w:rsidR="00DC7F29" w:rsidRPr="001F0712" w:rsidRDefault="00DC7F29" w:rsidP="00DC7F29">
            <w:pPr>
              <w:spacing w:before="120" w:after="120"/>
              <w:contextualSpacing/>
              <w:rPr>
                <w:rFonts w:ascii="Arial" w:hAnsi="Arial" w:cs="Arial"/>
                <w:sz w:val="20"/>
                <w:szCs w:val="20"/>
              </w:rPr>
            </w:pPr>
            <w:r w:rsidRPr="001F0712">
              <w:rPr>
                <w:rFonts w:ascii="Arial" w:hAnsi="Arial" w:cs="Arial"/>
                <w:sz w:val="20"/>
                <w:szCs w:val="20"/>
              </w:rPr>
              <w:t>Station Manager (Control) comp B</w:t>
            </w:r>
          </w:p>
        </w:tc>
        <w:tc>
          <w:tcPr>
            <w:tcW w:w="1134" w:type="dxa"/>
            <w:tcBorders>
              <w:top w:val="nil"/>
              <w:left w:val="nil"/>
              <w:bottom w:val="single" w:sz="8" w:space="0" w:color="BFBFBF"/>
              <w:right w:val="single" w:sz="8" w:space="0" w:color="BFBFBF"/>
            </w:tcBorders>
            <w:shd w:val="clear" w:color="000000" w:fill="FFFFFF"/>
            <w:noWrap/>
            <w:vAlign w:val="bottom"/>
          </w:tcPr>
          <w:p w14:paraId="652B8C8C" w14:textId="08346D00"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CO-SM3</w:t>
            </w:r>
          </w:p>
        </w:tc>
        <w:tc>
          <w:tcPr>
            <w:tcW w:w="1275" w:type="dxa"/>
            <w:tcBorders>
              <w:top w:val="nil"/>
              <w:left w:val="nil"/>
              <w:bottom w:val="single" w:sz="8" w:space="0" w:color="BFBFBF"/>
              <w:right w:val="single" w:sz="8" w:space="0" w:color="BFBFBF"/>
            </w:tcBorders>
            <w:shd w:val="clear" w:color="000000" w:fill="FFFFFF"/>
            <w:noWrap/>
            <w:vAlign w:val="bottom"/>
          </w:tcPr>
          <w:p w14:paraId="52BBB891" w14:textId="67DC2B0D"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51,571</w:t>
            </w:r>
          </w:p>
        </w:tc>
        <w:tc>
          <w:tcPr>
            <w:tcW w:w="1295" w:type="dxa"/>
            <w:tcBorders>
              <w:top w:val="nil"/>
              <w:left w:val="nil"/>
              <w:bottom w:val="single" w:sz="8" w:space="0" w:color="BFBFBF"/>
              <w:right w:val="single" w:sz="8" w:space="0" w:color="BFBFBF"/>
            </w:tcBorders>
            <w:shd w:val="clear" w:color="FFFFFF" w:fill="FFFFFF"/>
            <w:noWrap/>
            <w:vAlign w:val="bottom"/>
          </w:tcPr>
          <w:p w14:paraId="06A46720" w14:textId="046C802C"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6,986</w:t>
            </w:r>
          </w:p>
        </w:tc>
        <w:tc>
          <w:tcPr>
            <w:tcW w:w="1000" w:type="dxa"/>
            <w:tcBorders>
              <w:top w:val="nil"/>
              <w:left w:val="nil"/>
              <w:bottom w:val="single" w:sz="8" w:space="0" w:color="BFBFBF"/>
              <w:right w:val="single" w:sz="8" w:space="0" w:color="BFBFBF"/>
            </w:tcBorders>
            <w:shd w:val="clear" w:color="FFFFFF" w:fill="FFFFFF"/>
            <w:noWrap/>
            <w:vAlign w:val="bottom"/>
          </w:tcPr>
          <w:p w14:paraId="6C14DEEF" w14:textId="517DC16B"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9,180</w:t>
            </w:r>
          </w:p>
        </w:tc>
        <w:tc>
          <w:tcPr>
            <w:tcW w:w="1054" w:type="dxa"/>
            <w:tcBorders>
              <w:top w:val="nil"/>
              <w:left w:val="nil"/>
              <w:bottom w:val="single" w:sz="8" w:space="0" w:color="BFBFBF"/>
              <w:right w:val="single" w:sz="8" w:space="0" w:color="BFBFBF"/>
            </w:tcBorders>
            <w:shd w:val="clear" w:color="FFFFFF" w:fill="FFFFFF"/>
            <w:noWrap/>
            <w:vAlign w:val="bottom"/>
          </w:tcPr>
          <w:p w14:paraId="77B96C62" w14:textId="607210DE"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67,737</w:t>
            </w:r>
          </w:p>
        </w:tc>
      </w:tr>
      <w:tr w:rsidR="00DC7F29" w:rsidRPr="001F0712" w14:paraId="1DD3E059" w14:textId="77777777" w:rsidTr="00DC7F29">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080FC15E" w14:textId="4C5D245D" w:rsidR="00DC7F29" w:rsidRPr="001F0712" w:rsidRDefault="00DC7F29" w:rsidP="00DC7F29">
            <w:pPr>
              <w:spacing w:before="120" w:after="120"/>
              <w:contextualSpacing/>
              <w:rPr>
                <w:rFonts w:ascii="Arial" w:hAnsi="Arial" w:cs="Arial"/>
                <w:sz w:val="20"/>
                <w:szCs w:val="20"/>
              </w:rPr>
            </w:pPr>
            <w:r w:rsidRPr="001F0712">
              <w:rPr>
                <w:rFonts w:ascii="Arial" w:hAnsi="Arial" w:cs="Arial"/>
                <w:sz w:val="20"/>
                <w:szCs w:val="20"/>
              </w:rPr>
              <w:t>Gr</w:t>
            </w:r>
            <w:r w:rsidR="00AD5B86" w:rsidRPr="001F0712">
              <w:rPr>
                <w:rFonts w:ascii="Arial" w:hAnsi="Arial" w:cs="Arial"/>
                <w:sz w:val="20"/>
                <w:szCs w:val="20"/>
              </w:rPr>
              <w:t>ou</w:t>
            </w:r>
            <w:r w:rsidRPr="001F0712">
              <w:rPr>
                <w:rFonts w:ascii="Arial" w:hAnsi="Arial" w:cs="Arial"/>
                <w:sz w:val="20"/>
                <w:szCs w:val="20"/>
              </w:rPr>
              <w:t>p Manager (Control) dev</w:t>
            </w:r>
          </w:p>
        </w:tc>
        <w:tc>
          <w:tcPr>
            <w:tcW w:w="1134" w:type="dxa"/>
            <w:tcBorders>
              <w:top w:val="nil"/>
              <w:left w:val="nil"/>
              <w:bottom w:val="single" w:sz="8" w:space="0" w:color="BFBFBF"/>
              <w:right w:val="single" w:sz="8" w:space="0" w:color="BFBFBF"/>
            </w:tcBorders>
            <w:shd w:val="clear" w:color="000000" w:fill="FFFFFF"/>
            <w:noWrap/>
            <w:vAlign w:val="bottom"/>
          </w:tcPr>
          <w:p w14:paraId="5F79D8D6" w14:textId="498EFA64"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CO-GM1</w:t>
            </w:r>
          </w:p>
        </w:tc>
        <w:tc>
          <w:tcPr>
            <w:tcW w:w="1275" w:type="dxa"/>
            <w:tcBorders>
              <w:top w:val="nil"/>
              <w:left w:val="nil"/>
              <w:bottom w:val="single" w:sz="8" w:space="0" w:color="BFBFBF"/>
              <w:right w:val="single" w:sz="8" w:space="0" w:color="BFBFBF"/>
            </w:tcBorders>
            <w:shd w:val="clear" w:color="000000" w:fill="FFFFFF"/>
            <w:noWrap/>
            <w:vAlign w:val="bottom"/>
          </w:tcPr>
          <w:p w14:paraId="60807197" w14:textId="12FDFD2D"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53,819</w:t>
            </w:r>
          </w:p>
        </w:tc>
        <w:tc>
          <w:tcPr>
            <w:tcW w:w="1295" w:type="dxa"/>
            <w:tcBorders>
              <w:top w:val="nil"/>
              <w:left w:val="nil"/>
              <w:bottom w:val="single" w:sz="8" w:space="0" w:color="BFBFBF"/>
              <w:right w:val="single" w:sz="8" w:space="0" w:color="BFBFBF"/>
            </w:tcBorders>
            <w:shd w:val="clear" w:color="FFFFFF" w:fill="FFFFFF"/>
            <w:noWrap/>
            <w:vAlign w:val="bottom"/>
          </w:tcPr>
          <w:p w14:paraId="3A92A49E" w14:textId="34E669BC"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7,323</w:t>
            </w:r>
          </w:p>
        </w:tc>
        <w:tc>
          <w:tcPr>
            <w:tcW w:w="1000" w:type="dxa"/>
            <w:tcBorders>
              <w:top w:val="nil"/>
              <w:left w:val="nil"/>
              <w:bottom w:val="single" w:sz="8" w:space="0" w:color="BFBFBF"/>
              <w:right w:val="single" w:sz="8" w:space="0" w:color="BFBFBF"/>
            </w:tcBorders>
            <w:shd w:val="clear" w:color="FFFFFF" w:fill="FFFFFF"/>
            <w:noWrap/>
            <w:vAlign w:val="bottom"/>
          </w:tcPr>
          <w:p w14:paraId="26C2176B" w14:textId="06732898"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9,580</w:t>
            </w:r>
          </w:p>
        </w:tc>
        <w:tc>
          <w:tcPr>
            <w:tcW w:w="1054" w:type="dxa"/>
            <w:tcBorders>
              <w:top w:val="nil"/>
              <w:left w:val="nil"/>
              <w:bottom w:val="single" w:sz="8" w:space="0" w:color="BFBFBF"/>
              <w:right w:val="single" w:sz="8" w:space="0" w:color="BFBFBF"/>
            </w:tcBorders>
            <w:shd w:val="clear" w:color="FFFFFF" w:fill="FFFFFF"/>
            <w:noWrap/>
            <w:vAlign w:val="bottom"/>
          </w:tcPr>
          <w:p w14:paraId="7F092B6D" w14:textId="0AE8F3CA"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70,722</w:t>
            </w:r>
          </w:p>
        </w:tc>
      </w:tr>
      <w:tr w:rsidR="001769EC" w:rsidRPr="001F0712" w14:paraId="558BA66F" w14:textId="77777777" w:rsidTr="00906E26">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10FAF321" w14:textId="017C7F89" w:rsidR="001769EC" w:rsidRPr="001769EC" w:rsidRDefault="001769EC" w:rsidP="00DC7F29">
            <w:pPr>
              <w:spacing w:before="120" w:after="120"/>
              <w:contextualSpacing/>
              <w:rPr>
                <w:rFonts w:ascii="Arial" w:hAnsi="Arial" w:cs="Arial"/>
                <w:color w:val="747474" w:themeColor="background2" w:themeShade="80"/>
                <w:sz w:val="20"/>
                <w:szCs w:val="20"/>
              </w:rPr>
            </w:pPr>
            <w:r w:rsidRPr="001769EC">
              <w:rPr>
                <w:rFonts w:ascii="Arial" w:hAnsi="Arial" w:cs="Arial"/>
                <w:color w:val="747474" w:themeColor="background2" w:themeShade="80"/>
                <w:sz w:val="20"/>
                <w:szCs w:val="20"/>
              </w:rPr>
              <w:t>Group Manager (Control) comp A</w:t>
            </w:r>
          </w:p>
        </w:tc>
        <w:tc>
          <w:tcPr>
            <w:tcW w:w="5758" w:type="dxa"/>
            <w:gridSpan w:val="5"/>
            <w:tcBorders>
              <w:top w:val="nil"/>
              <w:left w:val="nil"/>
              <w:bottom w:val="single" w:sz="8" w:space="0" w:color="BFBFBF"/>
              <w:right w:val="single" w:sz="8" w:space="0" w:color="BFBFBF"/>
            </w:tcBorders>
            <w:shd w:val="clear" w:color="000000" w:fill="FFFFFF"/>
            <w:noWrap/>
            <w:vAlign w:val="bottom"/>
          </w:tcPr>
          <w:p w14:paraId="7EBA8BA1" w14:textId="462C1714" w:rsidR="001769EC" w:rsidRPr="00652CC6" w:rsidRDefault="001769EC" w:rsidP="00DC7F29">
            <w:pPr>
              <w:spacing w:before="120" w:after="120"/>
              <w:contextualSpacing/>
              <w:jc w:val="center"/>
              <w:rPr>
                <w:rFonts w:ascii="Arial" w:hAnsi="Arial" w:cs="Arial"/>
                <w:color w:val="FF0000"/>
                <w:sz w:val="20"/>
                <w:szCs w:val="20"/>
              </w:rPr>
            </w:pPr>
            <w:r w:rsidRPr="001769EC">
              <w:rPr>
                <w:rFonts w:ascii="Arial" w:hAnsi="Arial" w:cs="Arial"/>
                <w:i/>
                <w:iCs/>
                <w:color w:val="747474" w:themeColor="background2" w:themeShade="80"/>
                <w:sz w:val="20"/>
                <w:szCs w:val="20"/>
              </w:rPr>
              <w:t>Not used</w:t>
            </w:r>
          </w:p>
        </w:tc>
      </w:tr>
      <w:tr w:rsidR="00DC7F29" w:rsidRPr="001F0712" w14:paraId="7EA8E72A" w14:textId="77777777" w:rsidTr="00DC7F29">
        <w:trPr>
          <w:gridAfter w:val="1"/>
          <w:wAfter w:w="12" w:type="dxa"/>
          <w:trHeight w:val="60"/>
        </w:trPr>
        <w:tc>
          <w:tcPr>
            <w:tcW w:w="3251" w:type="dxa"/>
            <w:tcBorders>
              <w:top w:val="nil"/>
              <w:left w:val="single" w:sz="8" w:space="0" w:color="BFBFBF"/>
              <w:bottom w:val="single" w:sz="8" w:space="0" w:color="BFBFBF"/>
              <w:right w:val="single" w:sz="8" w:space="0" w:color="BFBFBF"/>
            </w:tcBorders>
            <w:shd w:val="clear" w:color="000000" w:fill="FFFFFF"/>
            <w:vAlign w:val="bottom"/>
          </w:tcPr>
          <w:p w14:paraId="5CB501B1" w14:textId="39E08EE6" w:rsidR="00DC7F29" w:rsidRPr="001F0712" w:rsidRDefault="00DC7F29" w:rsidP="00DC7F29">
            <w:pPr>
              <w:spacing w:before="120" w:after="120"/>
              <w:contextualSpacing/>
              <w:rPr>
                <w:rFonts w:ascii="Arial" w:hAnsi="Arial" w:cs="Arial"/>
                <w:sz w:val="20"/>
                <w:szCs w:val="20"/>
              </w:rPr>
            </w:pPr>
            <w:r w:rsidRPr="001F0712">
              <w:rPr>
                <w:rFonts w:ascii="Arial" w:hAnsi="Arial" w:cs="Arial"/>
                <w:sz w:val="20"/>
                <w:szCs w:val="20"/>
              </w:rPr>
              <w:t>Gr</w:t>
            </w:r>
            <w:r w:rsidR="00AD5B86" w:rsidRPr="001F0712">
              <w:rPr>
                <w:rFonts w:ascii="Arial" w:hAnsi="Arial" w:cs="Arial"/>
                <w:sz w:val="20"/>
                <w:szCs w:val="20"/>
              </w:rPr>
              <w:t>ou</w:t>
            </w:r>
            <w:r w:rsidRPr="001F0712">
              <w:rPr>
                <w:rFonts w:ascii="Arial" w:hAnsi="Arial" w:cs="Arial"/>
                <w:sz w:val="20"/>
                <w:szCs w:val="20"/>
              </w:rPr>
              <w:t>p Manager (Control) comp B</w:t>
            </w:r>
          </w:p>
        </w:tc>
        <w:tc>
          <w:tcPr>
            <w:tcW w:w="1134" w:type="dxa"/>
            <w:tcBorders>
              <w:top w:val="nil"/>
              <w:left w:val="nil"/>
              <w:bottom w:val="single" w:sz="8" w:space="0" w:color="BFBFBF"/>
              <w:right w:val="single" w:sz="8" w:space="0" w:color="BFBFBF"/>
            </w:tcBorders>
            <w:shd w:val="clear" w:color="000000" w:fill="FFFFFF"/>
            <w:noWrap/>
            <w:vAlign w:val="bottom"/>
          </w:tcPr>
          <w:p w14:paraId="270EC5E9" w14:textId="1BF17722"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CO-GM3</w:t>
            </w:r>
          </w:p>
        </w:tc>
        <w:tc>
          <w:tcPr>
            <w:tcW w:w="1275" w:type="dxa"/>
            <w:tcBorders>
              <w:top w:val="nil"/>
              <w:left w:val="nil"/>
              <w:bottom w:val="single" w:sz="8" w:space="0" w:color="BFBFBF"/>
              <w:right w:val="single" w:sz="8" w:space="0" w:color="BFBFBF"/>
            </w:tcBorders>
            <w:shd w:val="clear" w:color="000000" w:fill="FFFFFF"/>
            <w:noWrap/>
            <w:vAlign w:val="bottom"/>
          </w:tcPr>
          <w:p w14:paraId="7CCB309E" w14:textId="548C2969"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71,376</w:t>
            </w:r>
          </w:p>
        </w:tc>
        <w:tc>
          <w:tcPr>
            <w:tcW w:w="1295" w:type="dxa"/>
            <w:tcBorders>
              <w:top w:val="nil"/>
              <w:left w:val="nil"/>
              <w:bottom w:val="single" w:sz="8" w:space="0" w:color="BFBFBF"/>
              <w:right w:val="single" w:sz="8" w:space="0" w:color="BFBFBF"/>
            </w:tcBorders>
            <w:shd w:val="clear" w:color="FFFFFF" w:fill="FFFFFF"/>
            <w:noWrap/>
            <w:vAlign w:val="bottom"/>
          </w:tcPr>
          <w:p w14:paraId="1A15075A" w14:textId="201D8CE5"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9,956</w:t>
            </w:r>
          </w:p>
        </w:tc>
        <w:tc>
          <w:tcPr>
            <w:tcW w:w="1000" w:type="dxa"/>
            <w:tcBorders>
              <w:top w:val="nil"/>
              <w:left w:val="nil"/>
              <w:bottom w:val="single" w:sz="8" w:space="0" w:color="BFBFBF"/>
              <w:right w:val="single" w:sz="8" w:space="0" w:color="BFBFBF"/>
            </w:tcBorders>
            <w:shd w:val="clear" w:color="FFFFFF" w:fill="FFFFFF"/>
            <w:noWrap/>
            <w:vAlign w:val="bottom"/>
          </w:tcPr>
          <w:p w14:paraId="33C7B52E" w14:textId="28B2F3C7"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12,705</w:t>
            </w:r>
          </w:p>
        </w:tc>
        <w:tc>
          <w:tcPr>
            <w:tcW w:w="1054" w:type="dxa"/>
            <w:tcBorders>
              <w:top w:val="nil"/>
              <w:left w:val="nil"/>
              <w:bottom w:val="single" w:sz="8" w:space="0" w:color="BFBFBF"/>
              <w:right w:val="single" w:sz="8" w:space="0" w:color="BFBFBF"/>
            </w:tcBorders>
            <w:shd w:val="clear" w:color="FFFFFF" w:fill="FFFFFF"/>
            <w:noWrap/>
            <w:vAlign w:val="bottom"/>
          </w:tcPr>
          <w:p w14:paraId="0F7E6301" w14:textId="743ED0D0" w:rsidR="00DC7F29" w:rsidRPr="001F0712" w:rsidRDefault="00DC7F29" w:rsidP="00DC7F29">
            <w:pPr>
              <w:spacing w:before="120" w:after="120"/>
              <w:contextualSpacing/>
              <w:jc w:val="center"/>
              <w:rPr>
                <w:rFonts w:ascii="Arial" w:hAnsi="Arial" w:cs="Arial"/>
                <w:sz w:val="20"/>
                <w:szCs w:val="20"/>
              </w:rPr>
            </w:pPr>
            <w:r w:rsidRPr="001F0712">
              <w:rPr>
                <w:rFonts w:ascii="Arial" w:hAnsi="Arial" w:cs="Arial"/>
                <w:sz w:val="20"/>
                <w:szCs w:val="20"/>
              </w:rPr>
              <w:t>94,037</w:t>
            </w:r>
          </w:p>
        </w:tc>
      </w:tr>
    </w:tbl>
    <w:p w14:paraId="1E36AE86" w14:textId="5BE89F55" w:rsidR="00370C9D" w:rsidRPr="001F0712" w:rsidRDefault="00AD5B86" w:rsidP="001F16C7">
      <w:pPr>
        <w:autoSpaceDE w:val="0"/>
        <w:autoSpaceDN w:val="0"/>
        <w:adjustRightInd w:val="0"/>
        <w:rPr>
          <w:rFonts w:ascii="Arial" w:hAnsi="Arial" w:cs="Arial"/>
          <w:color w:val="FF0000"/>
        </w:rPr>
      </w:pPr>
      <w:r w:rsidRPr="001F0712">
        <w:rPr>
          <w:rFonts w:ascii="Arial" w:hAnsi="Arial" w:cs="Arial"/>
          <w:noProof/>
          <w:color w:val="FF0000"/>
        </w:rPr>
        <mc:AlternateContent>
          <mc:Choice Requires="wps">
            <w:drawing>
              <wp:anchor distT="45720" distB="45720" distL="114300" distR="114300" simplePos="0" relativeHeight="251657728" behindDoc="0" locked="0" layoutInCell="1" allowOverlap="1" wp14:anchorId="3441D1A7" wp14:editId="37FF3E9B">
                <wp:simplePos x="0" y="0"/>
                <wp:positionH relativeFrom="column">
                  <wp:posOffset>104686</wp:posOffset>
                </wp:positionH>
                <wp:positionV relativeFrom="paragraph">
                  <wp:posOffset>158406</wp:posOffset>
                </wp:positionV>
                <wp:extent cx="3067940" cy="333375"/>
                <wp:effectExtent l="0" t="0" r="0" b="9525"/>
                <wp:wrapNone/>
                <wp:docPr id="849880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940" cy="333375"/>
                        </a:xfrm>
                        <a:prstGeom prst="rect">
                          <a:avLst/>
                        </a:prstGeom>
                        <a:solidFill>
                          <a:srgbClr val="FFFFFF"/>
                        </a:solidFill>
                        <a:ln w="9525">
                          <a:noFill/>
                          <a:miter lim="800000"/>
                          <a:headEnd/>
                          <a:tailEnd/>
                        </a:ln>
                      </wps:spPr>
                      <wps:txbx>
                        <w:txbxContent>
                          <w:p w14:paraId="08D28245" w14:textId="5EB22A85" w:rsidR="00062991" w:rsidRPr="00526755" w:rsidRDefault="000611CB" w:rsidP="00062991">
                            <w:pPr>
                              <w:rPr>
                                <w:rFonts w:ascii="Arial" w:hAnsi="Arial" w:cs="Arial"/>
                                <w:b/>
                                <w:bCs/>
                                <w:color w:val="215E99" w:themeColor="text2" w:themeTint="BF"/>
                              </w:rPr>
                            </w:pPr>
                            <w:r w:rsidRPr="00526755">
                              <w:rPr>
                                <w:rFonts w:ascii="Arial" w:hAnsi="Arial" w:cs="Arial"/>
                                <w:b/>
                                <w:bCs/>
                                <w:color w:val="215E99" w:themeColor="text2" w:themeTint="BF"/>
                              </w:rPr>
                              <w:t xml:space="preserve">Note: </w:t>
                            </w:r>
                            <w:r w:rsidR="00062991" w:rsidRPr="00526755">
                              <w:rPr>
                                <w:rFonts w:ascii="Arial" w:hAnsi="Arial" w:cs="Arial"/>
                                <w:b/>
                                <w:bCs/>
                                <w:color w:val="215E99" w:themeColor="text2" w:themeTint="BF"/>
                              </w:rPr>
                              <w:t xml:space="preserve"> 2025/26 pay awards </w:t>
                            </w:r>
                            <w:r w:rsidR="00C975B7" w:rsidRPr="00526755">
                              <w:rPr>
                                <w:rFonts w:ascii="Arial" w:hAnsi="Arial" w:cs="Arial"/>
                                <w:b/>
                                <w:bCs/>
                                <w:color w:val="215E99" w:themeColor="text2" w:themeTint="BF"/>
                              </w:rPr>
                              <w:t xml:space="preserve">are </w:t>
                            </w:r>
                            <w:r w:rsidR="00062991" w:rsidRPr="00526755">
                              <w:rPr>
                                <w:rFonts w:ascii="Arial" w:hAnsi="Arial" w:cs="Arial"/>
                                <w:b/>
                                <w:bCs/>
                                <w:color w:val="215E99" w:themeColor="text2" w:themeTint="BF"/>
                              </w:rPr>
                              <w:t>pending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1D1A7" id="_x0000_s1027" type="#_x0000_t202" style="position:absolute;margin-left:8.25pt;margin-top:12.45pt;width:241.55pt;height:26.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" stroked="f">
                <v:textbox>
                  <w:txbxContent>
                    <w:p w14:paraId="08D28245" w14:textId="5EB22A85" w:rsidR="00062991" w:rsidRPr="00526755" w:rsidRDefault="000611CB" w:rsidP="00062991">
                      <w:pPr>
                        <w:rPr>
                          <w:rFonts w:ascii="Arial" w:hAnsi="Arial" w:cs="Arial"/>
                          <w:b/>
                          <w:bCs/>
                          <w:color w:val="215E99" w:themeColor="text2" w:themeTint="BF"/>
                        </w:rPr>
                      </w:pPr>
                      <w:r w:rsidRPr="00526755">
                        <w:rPr>
                          <w:rFonts w:ascii="Arial" w:hAnsi="Arial" w:cs="Arial"/>
                          <w:b/>
                          <w:bCs/>
                          <w:color w:val="215E99" w:themeColor="text2" w:themeTint="BF"/>
                        </w:rPr>
                        <w:t xml:space="preserve">Note: </w:t>
                      </w:r>
                      <w:r w:rsidR="00062991" w:rsidRPr="00526755">
                        <w:rPr>
                          <w:rFonts w:ascii="Arial" w:hAnsi="Arial" w:cs="Arial"/>
                          <w:b/>
                          <w:bCs/>
                          <w:color w:val="215E99" w:themeColor="text2" w:themeTint="BF"/>
                        </w:rPr>
                        <w:t xml:space="preserve"> 2025/26 pay awards </w:t>
                      </w:r>
                      <w:r w:rsidR="00C975B7" w:rsidRPr="00526755">
                        <w:rPr>
                          <w:rFonts w:ascii="Arial" w:hAnsi="Arial" w:cs="Arial"/>
                          <w:b/>
                          <w:bCs/>
                          <w:color w:val="215E99" w:themeColor="text2" w:themeTint="BF"/>
                        </w:rPr>
                        <w:t xml:space="preserve">are </w:t>
                      </w:r>
                      <w:r w:rsidR="00062991" w:rsidRPr="00526755">
                        <w:rPr>
                          <w:rFonts w:ascii="Arial" w:hAnsi="Arial" w:cs="Arial"/>
                          <w:b/>
                          <w:bCs/>
                          <w:color w:val="215E99" w:themeColor="text2" w:themeTint="BF"/>
                        </w:rPr>
                        <w:t>pending</w:t>
                      </w:r>
                    </w:p>
                  </w:txbxContent>
                </v:textbox>
              </v:shape>
            </w:pict>
          </mc:Fallback>
        </mc:AlternateContent>
      </w:r>
    </w:p>
    <w:p w14:paraId="40B64C2C" w14:textId="26C12D03" w:rsidR="00370C9D" w:rsidRPr="001F0712" w:rsidRDefault="00370C9D" w:rsidP="001F16C7">
      <w:pPr>
        <w:autoSpaceDE w:val="0"/>
        <w:autoSpaceDN w:val="0"/>
        <w:adjustRightInd w:val="0"/>
        <w:rPr>
          <w:rFonts w:ascii="Arial" w:hAnsi="Arial" w:cs="Arial"/>
          <w:color w:val="FF0000"/>
        </w:rPr>
      </w:pPr>
    </w:p>
    <w:p w14:paraId="529CB1D1" w14:textId="77777777" w:rsidR="00AD5B86" w:rsidRPr="001F0712" w:rsidRDefault="00AD5B86" w:rsidP="00062991">
      <w:pPr>
        <w:autoSpaceDE w:val="0"/>
        <w:autoSpaceDN w:val="0"/>
        <w:adjustRightInd w:val="0"/>
        <w:rPr>
          <w:rFonts w:ascii="Arial" w:hAnsi="Arial" w:cs="Arial"/>
          <w:b/>
          <w:bCs/>
          <w:sz w:val="32"/>
          <w:szCs w:val="32"/>
        </w:rPr>
      </w:pPr>
    </w:p>
    <w:p w14:paraId="252EB326" w14:textId="77777777" w:rsidR="00AD5B86" w:rsidRPr="001F0712" w:rsidRDefault="00AD5B86" w:rsidP="00062991">
      <w:pPr>
        <w:autoSpaceDE w:val="0"/>
        <w:autoSpaceDN w:val="0"/>
        <w:adjustRightInd w:val="0"/>
        <w:rPr>
          <w:rFonts w:ascii="Arial" w:hAnsi="Arial" w:cs="Arial"/>
          <w:b/>
          <w:bCs/>
          <w:sz w:val="32"/>
          <w:szCs w:val="32"/>
        </w:rPr>
      </w:pPr>
    </w:p>
    <w:p w14:paraId="3612B994" w14:textId="5611A456" w:rsidR="00062991" w:rsidRPr="00C57621" w:rsidRDefault="00062991" w:rsidP="00C57621">
      <w:pPr>
        <w:pStyle w:val="Heading1"/>
        <w:rPr>
          <w:sz w:val="32"/>
          <w:szCs w:val="24"/>
        </w:rPr>
      </w:pPr>
      <w:bookmarkStart w:id="23" w:name="_Toc194319286"/>
      <w:r w:rsidRPr="00C57621">
        <w:rPr>
          <w:sz w:val="32"/>
          <w:szCs w:val="24"/>
        </w:rPr>
        <w:t xml:space="preserve">Annex </w:t>
      </w:r>
      <w:r w:rsidR="00652CC6">
        <w:rPr>
          <w:sz w:val="32"/>
          <w:szCs w:val="24"/>
        </w:rPr>
        <w:t>3</w:t>
      </w:r>
      <w:r w:rsidRPr="00C57621">
        <w:rPr>
          <w:sz w:val="32"/>
          <w:szCs w:val="24"/>
        </w:rPr>
        <w:t>: Apprentice</w:t>
      </w:r>
      <w:r w:rsidR="00941F21" w:rsidRPr="00C57621">
        <w:rPr>
          <w:sz w:val="32"/>
          <w:szCs w:val="24"/>
        </w:rPr>
        <w:t>s’</w:t>
      </w:r>
      <w:r w:rsidRPr="00C57621">
        <w:rPr>
          <w:sz w:val="32"/>
          <w:szCs w:val="24"/>
        </w:rPr>
        <w:t xml:space="preserve"> pay from 1 April 202</w:t>
      </w:r>
      <w:r w:rsidR="00D00047" w:rsidRPr="00C57621">
        <w:rPr>
          <w:sz w:val="32"/>
          <w:szCs w:val="24"/>
        </w:rPr>
        <w:t>5</w:t>
      </w:r>
      <w:bookmarkEnd w:id="23"/>
    </w:p>
    <w:p w14:paraId="07663976" w14:textId="5C4FCD2E" w:rsidR="00062991" w:rsidRPr="001F0712" w:rsidRDefault="00062991" w:rsidP="00062991">
      <w:pPr>
        <w:autoSpaceDE w:val="0"/>
        <w:autoSpaceDN w:val="0"/>
        <w:adjustRightInd w:val="0"/>
        <w:rPr>
          <w:rFonts w:ascii="Arial" w:hAnsi="Arial" w:cs="Arial"/>
          <w:color w:val="FF0000"/>
          <w:sz w:val="14"/>
          <w:szCs w:val="14"/>
        </w:rPr>
      </w:pPr>
      <w:r w:rsidRPr="001F0712">
        <w:rPr>
          <w:rFonts w:ascii="Arial" w:hAnsi="Arial" w:cs="Arial"/>
          <w:noProof/>
          <w:color w:val="FF0000"/>
        </w:rPr>
        <mc:AlternateContent>
          <mc:Choice Requires="wps">
            <w:drawing>
              <wp:anchor distT="45720" distB="45720" distL="114300" distR="114300" simplePos="0" relativeHeight="251664896" behindDoc="0" locked="0" layoutInCell="1" allowOverlap="1" wp14:anchorId="3097A298" wp14:editId="3B2C03BC">
                <wp:simplePos x="0" y="0"/>
                <wp:positionH relativeFrom="column">
                  <wp:posOffset>371475</wp:posOffset>
                </wp:positionH>
                <wp:positionV relativeFrom="paragraph">
                  <wp:posOffset>8781415</wp:posOffset>
                </wp:positionV>
                <wp:extent cx="2390775" cy="333375"/>
                <wp:effectExtent l="0" t="0" r="9525" b="9525"/>
                <wp:wrapNone/>
                <wp:docPr id="244205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33375"/>
                        </a:xfrm>
                        <a:prstGeom prst="rect">
                          <a:avLst/>
                        </a:prstGeom>
                        <a:solidFill>
                          <a:srgbClr val="FFFFFF"/>
                        </a:solidFill>
                        <a:ln w="9525">
                          <a:noFill/>
                          <a:miter lim="800000"/>
                          <a:headEnd/>
                          <a:tailEnd/>
                        </a:ln>
                      </wps:spPr>
                      <wps:txbx>
                        <w:txbxContent>
                          <w:p w14:paraId="26AF133E" w14:textId="77777777" w:rsidR="00062991" w:rsidRPr="004C1FEF" w:rsidRDefault="00062991" w:rsidP="00062991">
                            <w:pPr>
                              <w:rPr>
                                <w:rFonts w:ascii="Arial" w:hAnsi="Arial" w:cs="Arial"/>
                                <w:b/>
                                <w:bCs/>
                                <w:color w:val="0070C0"/>
                              </w:rPr>
                            </w:pPr>
                            <w:r w:rsidRPr="004C1FEF">
                              <w:rPr>
                                <w:rFonts w:ascii="Arial" w:hAnsi="Arial" w:cs="Arial"/>
                                <w:b/>
                                <w:bCs/>
                                <w:color w:val="0070C0"/>
                              </w:rPr>
                              <w:t>* 2025/26 pay award pending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7A298" id="_x0000_s1028" type="#_x0000_t202" style="position:absolute;margin-left:29.25pt;margin-top:691.45pt;width:188.25pt;height:26.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" stroked="f">
                <v:textbox>
                  <w:txbxContent>
                    <w:p w14:paraId="26AF133E" w14:textId="77777777" w:rsidR="00062991" w:rsidRPr="004C1FEF" w:rsidRDefault="00062991" w:rsidP="00062991">
                      <w:pPr>
                        <w:rPr>
                          <w:rFonts w:ascii="Arial" w:hAnsi="Arial" w:cs="Arial"/>
                          <w:b/>
                          <w:bCs/>
                          <w:color w:val="0070C0"/>
                        </w:rPr>
                      </w:pPr>
                      <w:r w:rsidRPr="004C1FEF">
                        <w:rPr>
                          <w:rFonts w:ascii="Arial" w:hAnsi="Arial" w:cs="Arial"/>
                          <w:b/>
                          <w:bCs/>
                          <w:color w:val="0070C0"/>
                        </w:rPr>
                        <w:t>* 2025/26 pay award pending</w:t>
                      </w:r>
                    </w:p>
                  </w:txbxContent>
                </v:textbox>
              </v:shape>
            </w:pict>
          </mc:Fallback>
        </mc:AlternateContent>
      </w:r>
    </w:p>
    <w:tbl>
      <w:tblPr>
        <w:tblW w:w="7733" w:type="dxa"/>
        <w:tblLook w:val="04A0" w:firstRow="1" w:lastRow="0" w:firstColumn="1" w:lastColumn="0" w:noHBand="0" w:noVBand="1"/>
      </w:tblPr>
      <w:tblGrid>
        <w:gridCol w:w="3109"/>
        <w:gridCol w:w="1275"/>
        <w:gridCol w:w="1295"/>
        <w:gridCol w:w="1000"/>
        <w:gridCol w:w="1054"/>
      </w:tblGrid>
      <w:tr w:rsidR="00FE26EF" w:rsidRPr="001F0712" w14:paraId="589573B8" w14:textId="77777777" w:rsidTr="00FE26EF">
        <w:trPr>
          <w:trHeight w:val="60"/>
        </w:trPr>
        <w:tc>
          <w:tcPr>
            <w:tcW w:w="3109" w:type="dxa"/>
            <w:tcBorders>
              <w:top w:val="single" w:sz="8" w:space="0" w:color="BFBFBF"/>
              <w:left w:val="single" w:sz="8" w:space="0" w:color="BFBFBF"/>
              <w:bottom w:val="single" w:sz="8" w:space="0" w:color="BFBFBF"/>
              <w:right w:val="single" w:sz="8" w:space="0" w:color="BFBFBF"/>
            </w:tcBorders>
            <w:shd w:val="clear" w:color="000000" w:fill="FFFFFF"/>
            <w:vAlign w:val="center"/>
            <w:hideMark/>
          </w:tcPr>
          <w:p w14:paraId="77B71D69" w14:textId="50471EF3" w:rsidR="00FE26EF" w:rsidRPr="001F0712" w:rsidRDefault="00FE26EF" w:rsidP="00CE33E6">
            <w:pPr>
              <w:spacing w:before="120" w:after="120"/>
              <w:contextualSpacing/>
              <w:rPr>
                <w:rFonts w:ascii="Arial" w:hAnsi="Arial" w:cs="Arial"/>
                <w:b/>
                <w:bCs/>
                <w:color w:val="000000"/>
                <w:sz w:val="20"/>
                <w:szCs w:val="20"/>
              </w:rPr>
            </w:pPr>
            <w:r w:rsidRPr="001F0712">
              <w:rPr>
                <w:rFonts w:ascii="Arial" w:hAnsi="Arial" w:cs="Arial"/>
                <w:b/>
                <w:bCs/>
                <w:color w:val="000000"/>
                <w:sz w:val="20"/>
                <w:szCs w:val="20"/>
              </w:rPr>
              <w:t> Grade</w:t>
            </w:r>
          </w:p>
        </w:tc>
        <w:tc>
          <w:tcPr>
            <w:tcW w:w="1275" w:type="dxa"/>
            <w:tcBorders>
              <w:top w:val="single" w:sz="8" w:space="0" w:color="BFBFBF"/>
              <w:left w:val="nil"/>
              <w:bottom w:val="single" w:sz="8" w:space="0" w:color="BFBFBF"/>
              <w:right w:val="single" w:sz="8" w:space="0" w:color="BFBFBF"/>
            </w:tcBorders>
            <w:shd w:val="clear" w:color="000000" w:fill="FFFFFF"/>
            <w:vAlign w:val="center"/>
            <w:hideMark/>
          </w:tcPr>
          <w:p w14:paraId="07C15A31" w14:textId="44BA41C8" w:rsidR="00FE26EF" w:rsidRPr="001F0712" w:rsidRDefault="00FE26EF" w:rsidP="00CE33E6">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Salary from 1 April 2025</w:t>
            </w:r>
          </w:p>
        </w:tc>
        <w:tc>
          <w:tcPr>
            <w:tcW w:w="1295" w:type="dxa"/>
            <w:tcBorders>
              <w:top w:val="single" w:sz="8" w:space="0" w:color="BFBFBF"/>
              <w:left w:val="nil"/>
              <w:bottom w:val="single" w:sz="8" w:space="0" w:color="BFBFBF"/>
              <w:right w:val="single" w:sz="8" w:space="0" w:color="BFBFBF"/>
            </w:tcBorders>
            <w:shd w:val="clear" w:color="FFFFFF" w:fill="FFFFFF"/>
            <w:noWrap/>
            <w:vAlign w:val="center"/>
            <w:hideMark/>
          </w:tcPr>
          <w:p w14:paraId="1FADB09E" w14:textId="77777777" w:rsidR="00FE26EF" w:rsidRPr="001F0712" w:rsidRDefault="00FE26EF" w:rsidP="00CE33E6">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Employer’s National Insurance</w:t>
            </w:r>
          </w:p>
        </w:tc>
        <w:tc>
          <w:tcPr>
            <w:tcW w:w="1000" w:type="dxa"/>
            <w:tcBorders>
              <w:top w:val="single" w:sz="8" w:space="0" w:color="BFBFBF"/>
              <w:left w:val="nil"/>
              <w:bottom w:val="single" w:sz="8" w:space="0" w:color="BFBFBF"/>
              <w:right w:val="single" w:sz="8" w:space="0" w:color="BFBFBF"/>
            </w:tcBorders>
            <w:shd w:val="clear" w:color="FFFFFF" w:fill="FFFFFF"/>
            <w:noWrap/>
            <w:vAlign w:val="center"/>
            <w:hideMark/>
          </w:tcPr>
          <w:p w14:paraId="655D5452" w14:textId="77777777" w:rsidR="00FE26EF" w:rsidRPr="001F0712" w:rsidRDefault="00FE26EF" w:rsidP="00CE33E6">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Pension</w:t>
            </w:r>
          </w:p>
        </w:tc>
        <w:tc>
          <w:tcPr>
            <w:tcW w:w="1054" w:type="dxa"/>
            <w:tcBorders>
              <w:top w:val="single" w:sz="8" w:space="0" w:color="BFBFBF"/>
              <w:left w:val="nil"/>
              <w:bottom w:val="single" w:sz="8" w:space="0" w:color="BFBFBF"/>
              <w:right w:val="single" w:sz="8" w:space="0" w:color="BFBFBF"/>
            </w:tcBorders>
            <w:shd w:val="clear" w:color="FFFFFF" w:fill="FFFFFF"/>
            <w:noWrap/>
            <w:vAlign w:val="center"/>
            <w:hideMark/>
          </w:tcPr>
          <w:p w14:paraId="4878AD19" w14:textId="77777777" w:rsidR="00FE26EF" w:rsidRPr="001F0712" w:rsidRDefault="00FE26EF" w:rsidP="00CE33E6">
            <w:pPr>
              <w:spacing w:before="120" w:after="120"/>
              <w:contextualSpacing/>
              <w:jc w:val="center"/>
              <w:rPr>
                <w:rFonts w:ascii="Arial" w:hAnsi="Arial" w:cs="Arial"/>
                <w:b/>
                <w:bCs/>
                <w:color w:val="000000"/>
                <w:sz w:val="20"/>
                <w:szCs w:val="20"/>
              </w:rPr>
            </w:pPr>
            <w:r w:rsidRPr="001F0712">
              <w:rPr>
                <w:rFonts w:ascii="Arial" w:hAnsi="Arial" w:cs="Arial"/>
                <w:b/>
                <w:bCs/>
                <w:color w:val="000000"/>
                <w:sz w:val="20"/>
                <w:szCs w:val="20"/>
              </w:rPr>
              <w:t>TOTAL</w:t>
            </w:r>
          </w:p>
        </w:tc>
      </w:tr>
      <w:tr w:rsidR="00FF48A3" w:rsidRPr="001F0712" w14:paraId="0E9BDCCF" w14:textId="77777777" w:rsidTr="00FA10A7">
        <w:trPr>
          <w:trHeight w:val="65"/>
        </w:trPr>
        <w:tc>
          <w:tcPr>
            <w:tcW w:w="3109" w:type="dxa"/>
            <w:tcBorders>
              <w:top w:val="nil"/>
              <w:left w:val="single" w:sz="8" w:space="0" w:color="BFBFBF"/>
              <w:bottom w:val="single" w:sz="8" w:space="0" w:color="BFBFBF"/>
              <w:right w:val="single" w:sz="8" w:space="0" w:color="BFBFBF"/>
            </w:tcBorders>
            <w:shd w:val="clear" w:color="000000" w:fill="FFFFFF"/>
            <w:vAlign w:val="bottom"/>
          </w:tcPr>
          <w:p w14:paraId="7C4E57E6" w14:textId="0906746A" w:rsidR="00FF48A3" w:rsidRPr="001F0712" w:rsidRDefault="00FF48A3" w:rsidP="00FF48A3">
            <w:pPr>
              <w:spacing w:before="120" w:after="120"/>
              <w:contextualSpacing/>
              <w:rPr>
                <w:rFonts w:ascii="Arial" w:hAnsi="Arial" w:cs="Arial"/>
                <w:sz w:val="20"/>
                <w:szCs w:val="20"/>
              </w:rPr>
            </w:pPr>
            <w:r w:rsidRPr="001F0712">
              <w:rPr>
                <w:rFonts w:ascii="Arial" w:hAnsi="Arial" w:cs="Arial"/>
                <w:sz w:val="20"/>
                <w:szCs w:val="20"/>
              </w:rPr>
              <w:t>16 to 17yrs</w:t>
            </w:r>
          </w:p>
        </w:tc>
        <w:tc>
          <w:tcPr>
            <w:tcW w:w="1275" w:type="dxa"/>
            <w:tcBorders>
              <w:top w:val="nil"/>
              <w:left w:val="nil"/>
              <w:bottom w:val="single" w:sz="8" w:space="0" w:color="BFBFBF"/>
              <w:right w:val="single" w:sz="8" w:space="0" w:color="BFBFBF"/>
            </w:tcBorders>
            <w:shd w:val="clear" w:color="000000" w:fill="FFFFFF"/>
            <w:noWrap/>
            <w:vAlign w:val="bottom"/>
          </w:tcPr>
          <w:p w14:paraId="5D120DC7" w14:textId="0DDCB147" w:rsidR="00FF48A3" w:rsidRPr="001F0712" w:rsidRDefault="00FF48A3" w:rsidP="00FF48A3">
            <w:pPr>
              <w:spacing w:before="120" w:after="120"/>
              <w:ind w:right="169"/>
              <w:contextualSpacing/>
              <w:jc w:val="right"/>
              <w:rPr>
                <w:rFonts w:ascii="Arial" w:hAnsi="Arial" w:cs="Arial"/>
                <w:sz w:val="20"/>
                <w:szCs w:val="20"/>
              </w:rPr>
            </w:pPr>
            <w:r w:rsidRPr="001F0712">
              <w:rPr>
                <w:rFonts w:ascii="Arial" w:hAnsi="Arial" w:cs="Arial"/>
                <w:sz w:val="20"/>
                <w:szCs w:val="20"/>
              </w:rPr>
              <w:t>14,566</w:t>
            </w:r>
          </w:p>
        </w:tc>
        <w:tc>
          <w:tcPr>
            <w:tcW w:w="1295" w:type="dxa"/>
            <w:tcBorders>
              <w:top w:val="nil"/>
              <w:left w:val="nil"/>
              <w:bottom w:val="single" w:sz="8" w:space="0" w:color="BFBFBF"/>
              <w:right w:val="single" w:sz="8" w:space="0" w:color="BFBFBF"/>
            </w:tcBorders>
            <w:shd w:val="clear" w:color="000000" w:fill="FFFFFF"/>
            <w:noWrap/>
            <w:vAlign w:val="bottom"/>
          </w:tcPr>
          <w:p w14:paraId="18A773BF" w14:textId="391C5B6D" w:rsidR="00FF48A3" w:rsidRPr="00FF48A3" w:rsidRDefault="00FF48A3" w:rsidP="00FF48A3">
            <w:pPr>
              <w:spacing w:before="120" w:after="120"/>
              <w:ind w:right="169"/>
              <w:contextualSpacing/>
              <w:jc w:val="right"/>
              <w:rPr>
                <w:rFonts w:ascii="Arial" w:hAnsi="Arial" w:cs="Arial"/>
                <w:sz w:val="20"/>
                <w:szCs w:val="20"/>
              </w:rPr>
            </w:pPr>
            <w:r w:rsidRPr="00FF48A3">
              <w:rPr>
                <w:rFonts w:ascii="Arial" w:hAnsi="Arial" w:cs="Arial"/>
                <w:sz w:val="20"/>
                <w:szCs w:val="20"/>
              </w:rPr>
              <w:t xml:space="preserve"> 754 </w:t>
            </w:r>
          </w:p>
        </w:tc>
        <w:tc>
          <w:tcPr>
            <w:tcW w:w="1000" w:type="dxa"/>
            <w:tcBorders>
              <w:top w:val="nil"/>
              <w:left w:val="nil"/>
              <w:bottom w:val="single" w:sz="8" w:space="0" w:color="BFBFBF"/>
              <w:right w:val="single" w:sz="8" w:space="0" w:color="BFBFBF"/>
            </w:tcBorders>
            <w:shd w:val="clear" w:color="000000" w:fill="FFFFFF"/>
            <w:noWrap/>
            <w:vAlign w:val="bottom"/>
          </w:tcPr>
          <w:p w14:paraId="6B1021CD" w14:textId="6654DEB8" w:rsidR="00FF48A3" w:rsidRPr="00FF48A3" w:rsidRDefault="00FF48A3" w:rsidP="00FF48A3">
            <w:pPr>
              <w:spacing w:before="120" w:after="120"/>
              <w:ind w:right="169"/>
              <w:contextualSpacing/>
              <w:jc w:val="right"/>
              <w:rPr>
                <w:rFonts w:ascii="Arial" w:hAnsi="Arial" w:cs="Arial"/>
                <w:sz w:val="20"/>
                <w:szCs w:val="20"/>
              </w:rPr>
            </w:pPr>
            <w:r w:rsidRPr="00FF48A3">
              <w:rPr>
                <w:rFonts w:ascii="Arial" w:hAnsi="Arial" w:cs="Arial"/>
                <w:sz w:val="20"/>
                <w:szCs w:val="20"/>
              </w:rPr>
              <w:t xml:space="preserve">2,607 </w:t>
            </w:r>
          </w:p>
        </w:tc>
        <w:tc>
          <w:tcPr>
            <w:tcW w:w="1054" w:type="dxa"/>
            <w:tcBorders>
              <w:top w:val="nil"/>
              <w:left w:val="nil"/>
              <w:bottom w:val="single" w:sz="8" w:space="0" w:color="BFBFBF"/>
              <w:right w:val="single" w:sz="8" w:space="0" w:color="BFBFBF"/>
            </w:tcBorders>
            <w:shd w:val="clear" w:color="000000" w:fill="FFFFFF"/>
            <w:noWrap/>
            <w:vAlign w:val="bottom"/>
          </w:tcPr>
          <w:p w14:paraId="64EDB73F" w14:textId="54E1C3A9" w:rsidR="00FF48A3" w:rsidRPr="00FF48A3" w:rsidRDefault="00FF48A3" w:rsidP="00FF48A3">
            <w:pPr>
              <w:spacing w:before="120" w:after="120"/>
              <w:ind w:right="169"/>
              <w:contextualSpacing/>
              <w:jc w:val="right"/>
              <w:rPr>
                <w:rFonts w:ascii="Arial" w:hAnsi="Arial" w:cs="Arial"/>
                <w:sz w:val="20"/>
                <w:szCs w:val="20"/>
              </w:rPr>
            </w:pPr>
            <w:r w:rsidRPr="00FF48A3">
              <w:rPr>
                <w:rFonts w:ascii="Arial" w:hAnsi="Arial" w:cs="Arial"/>
                <w:sz w:val="20"/>
                <w:szCs w:val="20"/>
              </w:rPr>
              <w:t xml:space="preserve"> 17,927 </w:t>
            </w:r>
          </w:p>
        </w:tc>
      </w:tr>
      <w:tr w:rsidR="00FF48A3" w:rsidRPr="001F0712" w14:paraId="7CB3C06E" w14:textId="77777777" w:rsidTr="00FA10A7">
        <w:trPr>
          <w:trHeight w:val="65"/>
        </w:trPr>
        <w:tc>
          <w:tcPr>
            <w:tcW w:w="3109" w:type="dxa"/>
            <w:tcBorders>
              <w:top w:val="nil"/>
              <w:left w:val="single" w:sz="8" w:space="0" w:color="BFBFBF"/>
              <w:bottom w:val="single" w:sz="8" w:space="0" w:color="BFBFBF"/>
              <w:right w:val="single" w:sz="8" w:space="0" w:color="BFBFBF"/>
            </w:tcBorders>
            <w:shd w:val="clear" w:color="000000" w:fill="FFFFFF"/>
            <w:vAlign w:val="bottom"/>
          </w:tcPr>
          <w:p w14:paraId="1F9B7DEC" w14:textId="754C4779" w:rsidR="00FF48A3" w:rsidRPr="001F0712" w:rsidRDefault="00FF48A3" w:rsidP="00FF48A3">
            <w:pPr>
              <w:spacing w:before="120" w:after="120"/>
              <w:contextualSpacing/>
              <w:rPr>
                <w:rFonts w:ascii="Arial" w:hAnsi="Arial" w:cs="Arial"/>
                <w:sz w:val="20"/>
                <w:szCs w:val="20"/>
              </w:rPr>
            </w:pPr>
            <w:r w:rsidRPr="001F0712">
              <w:rPr>
                <w:rFonts w:ascii="Arial" w:hAnsi="Arial" w:cs="Arial"/>
                <w:sz w:val="20"/>
                <w:szCs w:val="20"/>
              </w:rPr>
              <w:t>18 to 20yrs</w:t>
            </w:r>
          </w:p>
        </w:tc>
        <w:tc>
          <w:tcPr>
            <w:tcW w:w="1275" w:type="dxa"/>
            <w:tcBorders>
              <w:top w:val="nil"/>
              <w:left w:val="nil"/>
              <w:bottom w:val="single" w:sz="8" w:space="0" w:color="BFBFBF"/>
              <w:right w:val="single" w:sz="8" w:space="0" w:color="BFBFBF"/>
            </w:tcBorders>
            <w:shd w:val="clear" w:color="000000" w:fill="FFFFFF"/>
            <w:noWrap/>
            <w:vAlign w:val="bottom"/>
          </w:tcPr>
          <w:p w14:paraId="7D5B1C31" w14:textId="7C4D5430" w:rsidR="00FF48A3" w:rsidRPr="001F0712" w:rsidRDefault="00FF48A3" w:rsidP="00FF48A3">
            <w:pPr>
              <w:spacing w:before="120" w:after="120"/>
              <w:ind w:right="169"/>
              <w:contextualSpacing/>
              <w:jc w:val="right"/>
              <w:rPr>
                <w:rFonts w:ascii="Arial" w:hAnsi="Arial" w:cs="Arial"/>
                <w:sz w:val="20"/>
                <w:szCs w:val="20"/>
              </w:rPr>
            </w:pPr>
            <w:r w:rsidRPr="001F0712">
              <w:rPr>
                <w:rFonts w:ascii="Arial" w:hAnsi="Arial" w:cs="Arial"/>
                <w:sz w:val="20"/>
                <w:szCs w:val="20"/>
              </w:rPr>
              <w:t>19,293</w:t>
            </w:r>
          </w:p>
        </w:tc>
        <w:tc>
          <w:tcPr>
            <w:tcW w:w="1295" w:type="dxa"/>
            <w:tcBorders>
              <w:top w:val="nil"/>
              <w:left w:val="nil"/>
              <w:bottom w:val="single" w:sz="8" w:space="0" w:color="BFBFBF"/>
              <w:right w:val="single" w:sz="8" w:space="0" w:color="BFBFBF"/>
            </w:tcBorders>
            <w:shd w:val="clear" w:color="000000" w:fill="FFFFFF"/>
            <w:noWrap/>
            <w:vAlign w:val="bottom"/>
          </w:tcPr>
          <w:p w14:paraId="2B557A0A" w14:textId="0FEC43FC" w:rsidR="00FF48A3" w:rsidRPr="00FF48A3" w:rsidRDefault="00FF48A3" w:rsidP="00FF48A3">
            <w:pPr>
              <w:spacing w:before="120" w:after="120"/>
              <w:ind w:right="169"/>
              <w:contextualSpacing/>
              <w:jc w:val="right"/>
              <w:rPr>
                <w:rFonts w:ascii="Arial" w:hAnsi="Arial" w:cs="Arial"/>
                <w:sz w:val="20"/>
                <w:szCs w:val="20"/>
              </w:rPr>
            </w:pPr>
            <w:r w:rsidRPr="00FF48A3">
              <w:rPr>
                <w:rFonts w:ascii="Arial" w:hAnsi="Arial" w:cs="Arial"/>
                <w:sz w:val="20"/>
                <w:szCs w:val="20"/>
              </w:rPr>
              <w:t xml:space="preserve">   1,407 </w:t>
            </w:r>
          </w:p>
        </w:tc>
        <w:tc>
          <w:tcPr>
            <w:tcW w:w="1000" w:type="dxa"/>
            <w:tcBorders>
              <w:top w:val="nil"/>
              <w:left w:val="nil"/>
              <w:bottom w:val="single" w:sz="8" w:space="0" w:color="BFBFBF"/>
              <w:right w:val="single" w:sz="8" w:space="0" w:color="BFBFBF"/>
            </w:tcBorders>
            <w:shd w:val="clear" w:color="000000" w:fill="FFFFFF"/>
            <w:noWrap/>
            <w:vAlign w:val="bottom"/>
          </w:tcPr>
          <w:p w14:paraId="09379D64" w14:textId="60F122DE" w:rsidR="00FF48A3" w:rsidRPr="00FF48A3" w:rsidRDefault="00FF48A3" w:rsidP="00FF48A3">
            <w:pPr>
              <w:spacing w:before="120" w:after="120"/>
              <w:ind w:right="169"/>
              <w:contextualSpacing/>
              <w:jc w:val="right"/>
              <w:rPr>
                <w:rFonts w:ascii="Arial" w:hAnsi="Arial" w:cs="Arial"/>
                <w:sz w:val="20"/>
                <w:szCs w:val="20"/>
              </w:rPr>
            </w:pPr>
            <w:r w:rsidRPr="00FF48A3">
              <w:rPr>
                <w:rFonts w:ascii="Arial" w:hAnsi="Arial" w:cs="Arial"/>
                <w:sz w:val="20"/>
                <w:szCs w:val="20"/>
              </w:rPr>
              <w:t xml:space="preserve"> 3,453 </w:t>
            </w:r>
          </w:p>
        </w:tc>
        <w:tc>
          <w:tcPr>
            <w:tcW w:w="1054" w:type="dxa"/>
            <w:tcBorders>
              <w:top w:val="nil"/>
              <w:left w:val="nil"/>
              <w:bottom w:val="single" w:sz="8" w:space="0" w:color="BFBFBF"/>
              <w:right w:val="single" w:sz="8" w:space="0" w:color="BFBFBF"/>
            </w:tcBorders>
            <w:shd w:val="clear" w:color="000000" w:fill="FFFFFF"/>
            <w:noWrap/>
            <w:vAlign w:val="bottom"/>
          </w:tcPr>
          <w:p w14:paraId="359DAAF1" w14:textId="741BFCD0" w:rsidR="00FF48A3" w:rsidRPr="00FF48A3" w:rsidRDefault="00FF48A3" w:rsidP="00FF48A3">
            <w:pPr>
              <w:spacing w:before="120" w:after="120"/>
              <w:ind w:right="169"/>
              <w:contextualSpacing/>
              <w:jc w:val="right"/>
              <w:rPr>
                <w:rFonts w:ascii="Arial" w:hAnsi="Arial" w:cs="Arial"/>
                <w:sz w:val="20"/>
                <w:szCs w:val="20"/>
              </w:rPr>
            </w:pPr>
            <w:r w:rsidRPr="00FF48A3">
              <w:rPr>
                <w:rFonts w:ascii="Arial" w:hAnsi="Arial" w:cs="Arial"/>
                <w:sz w:val="20"/>
                <w:szCs w:val="20"/>
              </w:rPr>
              <w:t xml:space="preserve"> 24,153 </w:t>
            </w:r>
          </w:p>
        </w:tc>
      </w:tr>
      <w:tr w:rsidR="00FF48A3" w:rsidRPr="001F0712" w14:paraId="18E38647" w14:textId="77777777" w:rsidTr="00FA10A7">
        <w:trPr>
          <w:trHeight w:val="65"/>
        </w:trPr>
        <w:tc>
          <w:tcPr>
            <w:tcW w:w="3109" w:type="dxa"/>
            <w:tcBorders>
              <w:top w:val="nil"/>
              <w:left w:val="single" w:sz="8" w:space="0" w:color="BFBFBF"/>
              <w:bottom w:val="single" w:sz="8" w:space="0" w:color="BFBFBF"/>
              <w:right w:val="single" w:sz="8" w:space="0" w:color="BFBFBF"/>
            </w:tcBorders>
            <w:shd w:val="clear" w:color="000000" w:fill="FFFFFF"/>
            <w:vAlign w:val="bottom"/>
          </w:tcPr>
          <w:p w14:paraId="4C393E99" w14:textId="45ECE340" w:rsidR="00FF48A3" w:rsidRPr="001F0712" w:rsidRDefault="00FF48A3" w:rsidP="00FF48A3">
            <w:pPr>
              <w:spacing w:before="120" w:after="120"/>
              <w:contextualSpacing/>
              <w:rPr>
                <w:rFonts w:ascii="Arial" w:hAnsi="Arial" w:cs="Arial"/>
                <w:sz w:val="20"/>
                <w:szCs w:val="20"/>
              </w:rPr>
            </w:pPr>
            <w:r w:rsidRPr="001F0712">
              <w:rPr>
                <w:rFonts w:ascii="Arial" w:hAnsi="Arial" w:cs="Arial"/>
                <w:sz w:val="20"/>
                <w:szCs w:val="20"/>
              </w:rPr>
              <w:t>21yrs and over</w:t>
            </w:r>
          </w:p>
        </w:tc>
        <w:tc>
          <w:tcPr>
            <w:tcW w:w="1275" w:type="dxa"/>
            <w:tcBorders>
              <w:top w:val="nil"/>
              <w:left w:val="nil"/>
              <w:bottom w:val="single" w:sz="8" w:space="0" w:color="BFBFBF"/>
              <w:right w:val="single" w:sz="8" w:space="0" w:color="BFBFBF"/>
            </w:tcBorders>
            <w:shd w:val="clear" w:color="000000" w:fill="FFFFFF"/>
            <w:noWrap/>
            <w:vAlign w:val="bottom"/>
          </w:tcPr>
          <w:p w14:paraId="24B15628" w14:textId="47836054" w:rsidR="00FF48A3" w:rsidRPr="001F0712" w:rsidRDefault="00FF48A3" w:rsidP="00FF48A3">
            <w:pPr>
              <w:spacing w:before="120" w:after="120"/>
              <w:ind w:right="169"/>
              <w:contextualSpacing/>
              <w:jc w:val="right"/>
              <w:rPr>
                <w:rFonts w:ascii="Arial" w:hAnsi="Arial" w:cs="Arial"/>
                <w:sz w:val="20"/>
                <w:szCs w:val="20"/>
              </w:rPr>
            </w:pPr>
            <w:r w:rsidRPr="001F0712">
              <w:rPr>
                <w:rFonts w:ascii="Arial" w:hAnsi="Arial" w:cs="Arial"/>
                <w:sz w:val="20"/>
                <w:szCs w:val="20"/>
              </w:rPr>
              <w:t>23,557</w:t>
            </w:r>
          </w:p>
        </w:tc>
        <w:tc>
          <w:tcPr>
            <w:tcW w:w="1295" w:type="dxa"/>
            <w:tcBorders>
              <w:top w:val="nil"/>
              <w:left w:val="nil"/>
              <w:bottom w:val="single" w:sz="8" w:space="0" w:color="BFBFBF"/>
              <w:right w:val="single" w:sz="8" w:space="0" w:color="BFBFBF"/>
            </w:tcBorders>
            <w:shd w:val="clear" w:color="000000" w:fill="FFFFFF"/>
            <w:noWrap/>
            <w:vAlign w:val="bottom"/>
          </w:tcPr>
          <w:p w14:paraId="42431180" w14:textId="75F8D6C9" w:rsidR="00FF48A3" w:rsidRPr="00FF48A3" w:rsidRDefault="00FF48A3" w:rsidP="00FF48A3">
            <w:pPr>
              <w:spacing w:before="120" w:after="120"/>
              <w:ind w:right="169"/>
              <w:contextualSpacing/>
              <w:jc w:val="right"/>
              <w:rPr>
                <w:rFonts w:ascii="Arial" w:hAnsi="Arial" w:cs="Arial"/>
                <w:sz w:val="20"/>
                <w:szCs w:val="20"/>
              </w:rPr>
            </w:pPr>
            <w:r w:rsidRPr="00FF48A3">
              <w:rPr>
                <w:rFonts w:ascii="Arial" w:hAnsi="Arial" w:cs="Arial"/>
                <w:sz w:val="20"/>
                <w:szCs w:val="20"/>
              </w:rPr>
              <w:t xml:space="preserve">   1,995 </w:t>
            </w:r>
          </w:p>
        </w:tc>
        <w:tc>
          <w:tcPr>
            <w:tcW w:w="1000" w:type="dxa"/>
            <w:tcBorders>
              <w:top w:val="nil"/>
              <w:left w:val="nil"/>
              <w:bottom w:val="single" w:sz="8" w:space="0" w:color="BFBFBF"/>
              <w:right w:val="single" w:sz="8" w:space="0" w:color="BFBFBF"/>
            </w:tcBorders>
            <w:shd w:val="clear" w:color="000000" w:fill="FFFFFF"/>
            <w:noWrap/>
            <w:vAlign w:val="bottom"/>
          </w:tcPr>
          <w:p w14:paraId="22033498" w14:textId="1DD37950" w:rsidR="00FF48A3" w:rsidRPr="00FF48A3" w:rsidRDefault="00FF48A3" w:rsidP="00FF48A3">
            <w:pPr>
              <w:spacing w:before="120" w:after="120"/>
              <w:ind w:right="169"/>
              <w:contextualSpacing/>
              <w:jc w:val="right"/>
              <w:rPr>
                <w:rFonts w:ascii="Arial" w:hAnsi="Arial" w:cs="Arial"/>
                <w:sz w:val="20"/>
                <w:szCs w:val="20"/>
              </w:rPr>
            </w:pPr>
            <w:r w:rsidRPr="00FF48A3">
              <w:rPr>
                <w:rFonts w:ascii="Arial" w:hAnsi="Arial" w:cs="Arial"/>
                <w:sz w:val="20"/>
                <w:szCs w:val="20"/>
              </w:rPr>
              <w:t xml:space="preserve"> 4,217 </w:t>
            </w:r>
          </w:p>
        </w:tc>
        <w:tc>
          <w:tcPr>
            <w:tcW w:w="1054" w:type="dxa"/>
            <w:tcBorders>
              <w:top w:val="nil"/>
              <w:left w:val="nil"/>
              <w:bottom w:val="single" w:sz="8" w:space="0" w:color="BFBFBF"/>
              <w:right w:val="single" w:sz="8" w:space="0" w:color="BFBFBF"/>
            </w:tcBorders>
            <w:shd w:val="clear" w:color="000000" w:fill="FFFFFF"/>
            <w:noWrap/>
            <w:vAlign w:val="bottom"/>
          </w:tcPr>
          <w:p w14:paraId="70055D91" w14:textId="70BEB045" w:rsidR="00FF48A3" w:rsidRPr="00FF48A3" w:rsidRDefault="00FF48A3" w:rsidP="00FF48A3">
            <w:pPr>
              <w:spacing w:before="120" w:after="120"/>
              <w:ind w:right="169"/>
              <w:contextualSpacing/>
              <w:jc w:val="right"/>
              <w:rPr>
                <w:rFonts w:ascii="Arial" w:hAnsi="Arial" w:cs="Arial"/>
                <w:sz w:val="20"/>
                <w:szCs w:val="20"/>
              </w:rPr>
            </w:pPr>
            <w:r w:rsidRPr="00FF48A3">
              <w:rPr>
                <w:rFonts w:ascii="Arial" w:hAnsi="Arial" w:cs="Arial"/>
                <w:sz w:val="20"/>
                <w:szCs w:val="20"/>
              </w:rPr>
              <w:t xml:space="preserve"> 29,769 </w:t>
            </w:r>
          </w:p>
        </w:tc>
      </w:tr>
    </w:tbl>
    <w:p w14:paraId="20A388EF" w14:textId="6F34C359" w:rsidR="00370C9D" w:rsidRPr="001F0712" w:rsidRDefault="00941F21" w:rsidP="001F16C7">
      <w:pPr>
        <w:autoSpaceDE w:val="0"/>
        <w:autoSpaceDN w:val="0"/>
        <w:adjustRightInd w:val="0"/>
        <w:rPr>
          <w:rFonts w:ascii="Arial" w:hAnsi="Arial" w:cs="Arial"/>
          <w:color w:val="FF0000"/>
        </w:rPr>
        <w:sectPr w:rsidR="00370C9D" w:rsidRPr="001F0712" w:rsidSect="000533E4">
          <w:headerReference w:type="even" r:id="rId11"/>
          <w:headerReference w:type="default" r:id="rId12"/>
          <w:footerReference w:type="even" r:id="rId13"/>
          <w:footerReference w:type="default" r:id="rId14"/>
          <w:headerReference w:type="first" r:id="rId15"/>
          <w:footerReference w:type="first" r:id="rId16"/>
          <w:pgSz w:w="11906" w:h="16838"/>
          <w:pgMar w:top="1276" w:right="1800" w:bottom="1135" w:left="1800" w:header="708" w:footer="708" w:gutter="0"/>
          <w:cols w:space="708"/>
          <w:docGrid w:linePitch="360"/>
        </w:sectPr>
      </w:pPr>
      <w:r w:rsidRPr="001F0712">
        <w:rPr>
          <w:rFonts w:ascii="Arial" w:hAnsi="Arial" w:cs="Arial"/>
          <w:noProof/>
          <w:color w:val="FF0000"/>
        </w:rPr>
        <mc:AlternateContent>
          <mc:Choice Requires="wps">
            <w:drawing>
              <wp:anchor distT="45720" distB="45720" distL="114300" distR="114300" simplePos="0" relativeHeight="251675136" behindDoc="0" locked="0" layoutInCell="1" allowOverlap="1" wp14:anchorId="321C3D06" wp14:editId="0C754C62">
                <wp:simplePos x="0" y="0"/>
                <wp:positionH relativeFrom="column">
                  <wp:posOffset>2136</wp:posOffset>
                </wp:positionH>
                <wp:positionV relativeFrom="paragraph">
                  <wp:posOffset>132893</wp:posOffset>
                </wp:positionV>
                <wp:extent cx="5588950" cy="333375"/>
                <wp:effectExtent l="0" t="0" r="0" b="9525"/>
                <wp:wrapNone/>
                <wp:docPr id="390856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950" cy="333375"/>
                        </a:xfrm>
                        <a:prstGeom prst="rect">
                          <a:avLst/>
                        </a:prstGeom>
                        <a:solidFill>
                          <a:srgbClr val="FFFFFF"/>
                        </a:solidFill>
                        <a:ln w="9525">
                          <a:noFill/>
                          <a:miter lim="800000"/>
                          <a:headEnd/>
                          <a:tailEnd/>
                        </a:ln>
                      </wps:spPr>
                      <wps:txbx>
                        <w:txbxContent>
                          <w:p w14:paraId="71A04AF6" w14:textId="633C62AF" w:rsidR="00941F21" w:rsidRPr="00526755" w:rsidRDefault="000611CB" w:rsidP="00062991">
                            <w:pPr>
                              <w:rPr>
                                <w:rFonts w:ascii="Arial" w:hAnsi="Arial" w:cs="Arial"/>
                                <w:b/>
                                <w:bCs/>
                                <w:color w:val="215E99" w:themeColor="text2" w:themeTint="BF"/>
                              </w:rPr>
                            </w:pPr>
                            <w:r w:rsidRPr="00526755">
                              <w:rPr>
                                <w:rFonts w:ascii="Arial" w:hAnsi="Arial" w:cs="Arial"/>
                                <w:b/>
                                <w:bCs/>
                                <w:color w:val="215E99" w:themeColor="text2" w:themeTint="BF"/>
                              </w:rPr>
                              <w:t>Information per</w:t>
                            </w:r>
                            <w:r w:rsidR="00941F21" w:rsidRPr="00526755">
                              <w:rPr>
                                <w:rFonts w:ascii="Arial" w:hAnsi="Arial" w:cs="Arial"/>
                                <w:b/>
                                <w:bCs/>
                                <w:color w:val="215E99" w:themeColor="text2" w:themeTint="BF"/>
                              </w:rPr>
                              <w:t xml:space="preserve"> </w:t>
                            </w:r>
                            <w:r w:rsidR="00FE435F" w:rsidRPr="00526755">
                              <w:rPr>
                                <w:rFonts w:ascii="Arial" w:hAnsi="Arial" w:cs="Arial"/>
                                <w:b/>
                                <w:bCs/>
                                <w:color w:val="215E99" w:themeColor="text2" w:themeTint="BF"/>
                              </w:rPr>
                              <w:t>N</w:t>
                            </w:r>
                            <w:r w:rsidR="00941F21" w:rsidRPr="00526755">
                              <w:rPr>
                                <w:rFonts w:ascii="Arial" w:hAnsi="Arial" w:cs="Arial"/>
                                <w:b/>
                                <w:bCs/>
                                <w:color w:val="215E99" w:themeColor="text2" w:themeTint="BF"/>
                              </w:rPr>
                              <w:t xml:space="preserve">ational </w:t>
                            </w:r>
                            <w:r w:rsidR="00FE435F" w:rsidRPr="00526755">
                              <w:rPr>
                                <w:rFonts w:ascii="Arial" w:hAnsi="Arial" w:cs="Arial"/>
                                <w:b/>
                                <w:bCs/>
                                <w:color w:val="215E99" w:themeColor="text2" w:themeTint="BF"/>
                              </w:rPr>
                              <w:t>Living Wage information</w:t>
                            </w:r>
                            <w:r w:rsidRPr="00526755">
                              <w:rPr>
                                <w:rFonts w:ascii="Arial" w:hAnsi="Arial" w:cs="Arial"/>
                                <w:b/>
                                <w:bCs/>
                                <w:color w:val="215E99" w:themeColor="text2" w:themeTint="BF"/>
                              </w:rPr>
                              <w:t>;</w:t>
                            </w:r>
                            <w:r w:rsidR="00FE435F" w:rsidRPr="00526755">
                              <w:rPr>
                                <w:rFonts w:ascii="Arial" w:hAnsi="Arial" w:cs="Arial"/>
                                <w:b/>
                                <w:bCs/>
                                <w:color w:val="215E99" w:themeColor="text2" w:themeTint="BF"/>
                              </w:rPr>
                              <w:t xml:space="preserve"> </w:t>
                            </w:r>
                            <w:r w:rsidRPr="00526755">
                              <w:rPr>
                                <w:rFonts w:ascii="Arial" w:hAnsi="Arial" w:cs="Arial"/>
                                <w:b/>
                                <w:bCs/>
                                <w:color w:val="215E99" w:themeColor="text2" w:themeTint="BF"/>
                              </w:rPr>
                              <w:t xml:space="preserve">payable </w:t>
                            </w:r>
                            <w:r w:rsidR="00FE435F" w:rsidRPr="00526755">
                              <w:rPr>
                                <w:rFonts w:ascii="Arial" w:hAnsi="Arial" w:cs="Arial"/>
                                <w:b/>
                                <w:bCs/>
                                <w:color w:val="215E99" w:themeColor="text2" w:themeTint="BF"/>
                              </w:rPr>
                              <w:t xml:space="preserve">from </w:t>
                            </w:r>
                            <w:r w:rsidR="00CF219C" w:rsidRPr="00526755">
                              <w:rPr>
                                <w:rFonts w:ascii="Arial" w:hAnsi="Arial" w:cs="Arial"/>
                                <w:b/>
                                <w:bCs/>
                                <w:color w:val="215E99" w:themeColor="text2" w:themeTint="BF"/>
                              </w:rPr>
                              <w:t>April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C3D06" id="_x0000_s1029" type="#_x0000_t202" style="position:absolute;margin-left:.15pt;margin-top:10.45pt;width:440.05pt;height:26.2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" stroked="f">
                <v:textbox>
                  <w:txbxContent>
                    <w:p w14:paraId="71A04AF6" w14:textId="633C62AF" w:rsidR="00941F21" w:rsidRPr="00526755" w:rsidRDefault="000611CB" w:rsidP="00062991">
                      <w:pPr>
                        <w:rPr>
                          <w:rFonts w:ascii="Arial" w:hAnsi="Arial" w:cs="Arial"/>
                          <w:b/>
                          <w:bCs/>
                          <w:color w:val="215E99" w:themeColor="text2" w:themeTint="BF"/>
                        </w:rPr>
                      </w:pPr>
                      <w:r w:rsidRPr="00526755">
                        <w:rPr>
                          <w:rFonts w:ascii="Arial" w:hAnsi="Arial" w:cs="Arial"/>
                          <w:b/>
                          <w:bCs/>
                          <w:color w:val="215E99" w:themeColor="text2" w:themeTint="BF"/>
                        </w:rPr>
                        <w:t>Information per</w:t>
                      </w:r>
                      <w:r w:rsidR="00941F21" w:rsidRPr="00526755">
                        <w:rPr>
                          <w:rFonts w:ascii="Arial" w:hAnsi="Arial" w:cs="Arial"/>
                          <w:b/>
                          <w:bCs/>
                          <w:color w:val="215E99" w:themeColor="text2" w:themeTint="BF"/>
                        </w:rPr>
                        <w:t xml:space="preserve"> </w:t>
                      </w:r>
                      <w:r w:rsidR="00FE435F" w:rsidRPr="00526755">
                        <w:rPr>
                          <w:rFonts w:ascii="Arial" w:hAnsi="Arial" w:cs="Arial"/>
                          <w:b/>
                          <w:bCs/>
                          <w:color w:val="215E99" w:themeColor="text2" w:themeTint="BF"/>
                        </w:rPr>
                        <w:t>N</w:t>
                      </w:r>
                      <w:r w:rsidR="00941F21" w:rsidRPr="00526755">
                        <w:rPr>
                          <w:rFonts w:ascii="Arial" w:hAnsi="Arial" w:cs="Arial"/>
                          <w:b/>
                          <w:bCs/>
                          <w:color w:val="215E99" w:themeColor="text2" w:themeTint="BF"/>
                        </w:rPr>
                        <w:t xml:space="preserve">ational </w:t>
                      </w:r>
                      <w:r w:rsidR="00FE435F" w:rsidRPr="00526755">
                        <w:rPr>
                          <w:rFonts w:ascii="Arial" w:hAnsi="Arial" w:cs="Arial"/>
                          <w:b/>
                          <w:bCs/>
                          <w:color w:val="215E99" w:themeColor="text2" w:themeTint="BF"/>
                        </w:rPr>
                        <w:t>Living Wage information</w:t>
                      </w:r>
                      <w:r w:rsidRPr="00526755">
                        <w:rPr>
                          <w:rFonts w:ascii="Arial" w:hAnsi="Arial" w:cs="Arial"/>
                          <w:b/>
                          <w:bCs/>
                          <w:color w:val="215E99" w:themeColor="text2" w:themeTint="BF"/>
                        </w:rPr>
                        <w:t>;</w:t>
                      </w:r>
                      <w:r w:rsidR="00FE435F" w:rsidRPr="00526755">
                        <w:rPr>
                          <w:rFonts w:ascii="Arial" w:hAnsi="Arial" w:cs="Arial"/>
                          <w:b/>
                          <w:bCs/>
                          <w:color w:val="215E99" w:themeColor="text2" w:themeTint="BF"/>
                        </w:rPr>
                        <w:t xml:space="preserve"> </w:t>
                      </w:r>
                      <w:r w:rsidRPr="00526755">
                        <w:rPr>
                          <w:rFonts w:ascii="Arial" w:hAnsi="Arial" w:cs="Arial"/>
                          <w:b/>
                          <w:bCs/>
                          <w:color w:val="215E99" w:themeColor="text2" w:themeTint="BF"/>
                        </w:rPr>
                        <w:t xml:space="preserve">payable </w:t>
                      </w:r>
                      <w:r w:rsidR="00FE435F" w:rsidRPr="00526755">
                        <w:rPr>
                          <w:rFonts w:ascii="Arial" w:hAnsi="Arial" w:cs="Arial"/>
                          <w:b/>
                          <w:bCs/>
                          <w:color w:val="215E99" w:themeColor="text2" w:themeTint="BF"/>
                        </w:rPr>
                        <w:t xml:space="preserve">from </w:t>
                      </w:r>
                      <w:r w:rsidR="00CF219C" w:rsidRPr="00526755">
                        <w:rPr>
                          <w:rFonts w:ascii="Arial" w:hAnsi="Arial" w:cs="Arial"/>
                          <w:b/>
                          <w:bCs/>
                          <w:color w:val="215E99" w:themeColor="text2" w:themeTint="BF"/>
                        </w:rPr>
                        <w:t>April 2025</w:t>
                      </w:r>
                    </w:p>
                  </w:txbxContent>
                </v:textbox>
              </v:shape>
            </w:pict>
          </mc:Fallback>
        </mc:AlternateContent>
      </w:r>
      <w:r w:rsidR="00AD5B86" w:rsidRPr="001F0712">
        <w:rPr>
          <w:rFonts w:ascii="Arial" w:hAnsi="Arial" w:cs="Arial"/>
          <w:color w:val="FF0000"/>
        </w:rPr>
        <w:t xml:space="preserve"> </w:t>
      </w:r>
    </w:p>
    <w:p w14:paraId="1B96A847" w14:textId="437BD7B2" w:rsidR="005E48F7" w:rsidRPr="00652CC6" w:rsidRDefault="005E48F7" w:rsidP="00652CC6">
      <w:pPr>
        <w:pStyle w:val="Heading1"/>
        <w:rPr>
          <w:sz w:val="32"/>
          <w:szCs w:val="24"/>
        </w:rPr>
      </w:pPr>
      <w:bookmarkStart w:id="27" w:name="_Toc194319287"/>
      <w:r w:rsidRPr="00652CC6">
        <w:rPr>
          <w:sz w:val="32"/>
          <w:szCs w:val="24"/>
        </w:rPr>
        <w:lastRenderedPageBreak/>
        <w:t xml:space="preserve">Annex </w:t>
      </w:r>
      <w:r w:rsidR="001B00BB" w:rsidRPr="00652CC6">
        <w:rPr>
          <w:sz w:val="32"/>
          <w:szCs w:val="24"/>
        </w:rPr>
        <w:t>4</w:t>
      </w:r>
      <w:r w:rsidR="00652CC6">
        <w:rPr>
          <w:sz w:val="32"/>
          <w:szCs w:val="24"/>
        </w:rPr>
        <w:t>: Chief officers’ pay</w:t>
      </w:r>
      <w:bookmarkEnd w:id="27"/>
      <w:r w:rsidR="00652CC6">
        <w:rPr>
          <w:sz w:val="32"/>
          <w:szCs w:val="24"/>
        </w:rPr>
        <w:t xml:space="preserve"> </w:t>
      </w:r>
    </w:p>
    <w:p w14:paraId="3B2E33B7" w14:textId="5EBE01F0" w:rsidR="00B55D37" w:rsidRPr="001F0712" w:rsidRDefault="00B55D37" w:rsidP="008E167B">
      <w:pPr>
        <w:ind w:left="709"/>
        <w:rPr>
          <w:rFonts w:ascii="Arial" w:hAnsi="Arial" w:cs="Arial"/>
        </w:rPr>
      </w:pPr>
    </w:p>
    <w:tbl>
      <w:tblPr>
        <w:tblStyle w:val="TableGrid"/>
        <w:tblpPr w:leftFromText="180" w:rightFromText="180" w:vertAnchor="text" w:tblpY="1"/>
        <w:tblOverlap w:val="never"/>
        <w:tblW w:w="1246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397"/>
        <w:gridCol w:w="1348"/>
        <w:gridCol w:w="1134"/>
        <w:gridCol w:w="1144"/>
        <w:gridCol w:w="1436"/>
        <w:gridCol w:w="1378"/>
        <w:gridCol w:w="1417"/>
        <w:gridCol w:w="1215"/>
      </w:tblGrid>
      <w:tr w:rsidR="00CB6C66" w:rsidRPr="001F0712" w14:paraId="12E46D33" w14:textId="77777777" w:rsidTr="003325C1">
        <w:tc>
          <w:tcPr>
            <w:tcW w:w="3397" w:type="dxa"/>
          </w:tcPr>
          <w:p w14:paraId="1B124D63" w14:textId="3BE238E5" w:rsidR="00BF3433" w:rsidRPr="00526755" w:rsidRDefault="00BF3433" w:rsidP="006219E5">
            <w:pPr>
              <w:autoSpaceDE w:val="0"/>
              <w:autoSpaceDN w:val="0"/>
              <w:adjustRightInd w:val="0"/>
              <w:rPr>
                <w:rFonts w:ascii="Arial" w:hAnsi="Arial" w:cs="Arial"/>
                <w:b/>
                <w:bCs/>
                <w:color w:val="215E99" w:themeColor="text2" w:themeTint="BF"/>
                <w:sz w:val="20"/>
                <w:szCs w:val="20"/>
              </w:rPr>
            </w:pPr>
            <w:r w:rsidRPr="00526755">
              <w:rPr>
                <w:rFonts w:ascii="Arial" w:hAnsi="Arial" w:cs="Arial"/>
                <w:b/>
                <w:bCs/>
                <w:color w:val="215E99" w:themeColor="text2" w:themeTint="BF"/>
                <w:sz w:val="20"/>
                <w:szCs w:val="20"/>
              </w:rPr>
              <w:t>G</w:t>
            </w:r>
            <w:r w:rsidR="00F745D0" w:rsidRPr="00526755">
              <w:rPr>
                <w:rFonts w:ascii="Arial" w:hAnsi="Arial" w:cs="Arial"/>
                <w:b/>
                <w:bCs/>
                <w:color w:val="215E99" w:themeColor="text2" w:themeTint="BF"/>
                <w:sz w:val="20"/>
                <w:szCs w:val="20"/>
              </w:rPr>
              <w:t>old</w:t>
            </w:r>
            <w:r w:rsidRPr="00526755">
              <w:rPr>
                <w:rFonts w:ascii="Arial" w:hAnsi="Arial" w:cs="Arial"/>
                <w:b/>
                <w:bCs/>
                <w:color w:val="215E99" w:themeColor="text2" w:themeTint="BF"/>
                <w:sz w:val="20"/>
                <w:szCs w:val="20"/>
              </w:rPr>
              <w:t xml:space="preserve"> Book chief officers</w:t>
            </w:r>
            <w:r w:rsidR="00C73887" w:rsidRPr="00526755">
              <w:rPr>
                <w:rFonts w:ascii="Arial" w:hAnsi="Arial" w:cs="Arial"/>
                <w:b/>
                <w:bCs/>
                <w:color w:val="215E99" w:themeColor="text2" w:themeTint="BF"/>
                <w:sz w:val="20"/>
                <w:szCs w:val="20"/>
              </w:rPr>
              <w:t xml:space="preserve"> (Principal Officers)</w:t>
            </w:r>
          </w:p>
        </w:tc>
        <w:tc>
          <w:tcPr>
            <w:tcW w:w="1348" w:type="dxa"/>
          </w:tcPr>
          <w:p w14:paraId="4FDD461B" w14:textId="6FBEF31C" w:rsidR="00BF3433" w:rsidRPr="001F0712" w:rsidRDefault="00BF3433" w:rsidP="00735BDA">
            <w:pPr>
              <w:autoSpaceDE w:val="0"/>
              <w:autoSpaceDN w:val="0"/>
              <w:adjustRightInd w:val="0"/>
              <w:jc w:val="right"/>
              <w:rPr>
                <w:rFonts w:ascii="Arial" w:hAnsi="Arial" w:cs="Arial"/>
                <w:sz w:val="20"/>
                <w:szCs w:val="20"/>
              </w:rPr>
            </w:pPr>
            <w:r w:rsidRPr="001F0712">
              <w:rPr>
                <w:rFonts w:ascii="Arial" w:hAnsi="Arial" w:cs="Arial"/>
                <w:sz w:val="20"/>
                <w:szCs w:val="20"/>
              </w:rPr>
              <w:t>Salary</w:t>
            </w:r>
            <w:r w:rsidRPr="001F0712">
              <w:rPr>
                <w:rFonts w:ascii="Arial" w:hAnsi="Arial" w:cs="Arial"/>
                <w:i/>
                <w:iCs/>
                <w:sz w:val="20"/>
                <w:szCs w:val="20"/>
              </w:rPr>
              <w:t xml:space="preserve"> </w:t>
            </w:r>
            <w:r w:rsidRPr="001F0712">
              <w:rPr>
                <w:rFonts w:ascii="Arial" w:hAnsi="Arial" w:cs="Arial"/>
                <w:sz w:val="20"/>
                <w:szCs w:val="20"/>
              </w:rPr>
              <w:t xml:space="preserve">(from </w:t>
            </w:r>
            <w:r w:rsidRPr="001F0712">
              <w:rPr>
                <w:rFonts w:ascii="Arial" w:hAnsi="Arial" w:cs="Arial"/>
                <w:sz w:val="20"/>
                <w:szCs w:val="20"/>
                <w:u w:val="single"/>
              </w:rPr>
              <w:t>1 J</w:t>
            </w:r>
            <w:r w:rsidR="00F745D0" w:rsidRPr="001F0712">
              <w:rPr>
                <w:rFonts w:ascii="Arial" w:hAnsi="Arial" w:cs="Arial"/>
                <w:sz w:val="20"/>
                <w:szCs w:val="20"/>
                <w:u w:val="single"/>
              </w:rPr>
              <w:t>anuary</w:t>
            </w:r>
            <w:r w:rsidRPr="001F0712">
              <w:rPr>
                <w:rFonts w:ascii="Arial" w:hAnsi="Arial" w:cs="Arial"/>
                <w:sz w:val="20"/>
                <w:szCs w:val="20"/>
                <w:u w:val="single"/>
              </w:rPr>
              <w:t xml:space="preserve"> 2024</w:t>
            </w:r>
            <w:r w:rsidR="00FA440D" w:rsidRPr="001F0712">
              <w:rPr>
                <w:rFonts w:ascii="Arial" w:hAnsi="Arial" w:cs="Arial"/>
                <w:color w:val="0070C0"/>
                <w:sz w:val="20"/>
                <w:szCs w:val="20"/>
              </w:rPr>
              <w:t>*</w:t>
            </w:r>
            <w:r w:rsidRPr="001F0712">
              <w:rPr>
                <w:rFonts w:ascii="Arial" w:hAnsi="Arial" w:cs="Arial"/>
                <w:sz w:val="20"/>
                <w:szCs w:val="20"/>
              </w:rPr>
              <w:t>)</w:t>
            </w:r>
          </w:p>
        </w:tc>
        <w:tc>
          <w:tcPr>
            <w:tcW w:w="1134" w:type="dxa"/>
          </w:tcPr>
          <w:p w14:paraId="4321A9E9" w14:textId="6EAF22F7" w:rsidR="00BF3433" w:rsidRPr="001F0712" w:rsidRDefault="00BF3433" w:rsidP="00735BDA">
            <w:pPr>
              <w:autoSpaceDE w:val="0"/>
              <w:autoSpaceDN w:val="0"/>
              <w:adjustRightInd w:val="0"/>
              <w:jc w:val="right"/>
              <w:rPr>
                <w:rFonts w:ascii="Arial" w:hAnsi="Arial" w:cs="Arial"/>
                <w:sz w:val="20"/>
                <w:szCs w:val="20"/>
              </w:rPr>
            </w:pPr>
            <w:r w:rsidRPr="001F0712">
              <w:rPr>
                <w:rFonts w:ascii="Arial" w:hAnsi="Arial" w:cs="Arial"/>
                <w:sz w:val="20"/>
                <w:szCs w:val="20"/>
              </w:rPr>
              <w:t>Rota allowance</w:t>
            </w:r>
          </w:p>
        </w:tc>
        <w:tc>
          <w:tcPr>
            <w:tcW w:w="1144" w:type="dxa"/>
          </w:tcPr>
          <w:p w14:paraId="7D802A61" w14:textId="77777777" w:rsidR="00BF3433" w:rsidRPr="001F0712" w:rsidRDefault="00BF3433" w:rsidP="00735BDA">
            <w:pPr>
              <w:autoSpaceDE w:val="0"/>
              <w:autoSpaceDN w:val="0"/>
              <w:adjustRightInd w:val="0"/>
              <w:jc w:val="right"/>
              <w:rPr>
                <w:rFonts w:ascii="Arial" w:hAnsi="Arial" w:cs="Arial"/>
                <w:sz w:val="20"/>
                <w:szCs w:val="20"/>
              </w:rPr>
            </w:pPr>
            <w:r w:rsidRPr="001F0712">
              <w:rPr>
                <w:rFonts w:ascii="Arial" w:hAnsi="Arial" w:cs="Arial"/>
                <w:sz w:val="20"/>
                <w:szCs w:val="20"/>
              </w:rPr>
              <w:t>Area Manager allowance</w:t>
            </w:r>
          </w:p>
        </w:tc>
        <w:tc>
          <w:tcPr>
            <w:tcW w:w="1436" w:type="dxa"/>
          </w:tcPr>
          <w:p w14:paraId="38E6CA2B" w14:textId="77777777" w:rsidR="00BF3433" w:rsidRPr="001F0712" w:rsidRDefault="00BF3433" w:rsidP="00735BDA">
            <w:pPr>
              <w:autoSpaceDE w:val="0"/>
              <w:autoSpaceDN w:val="0"/>
              <w:adjustRightInd w:val="0"/>
              <w:jc w:val="right"/>
              <w:rPr>
                <w:rFonts w:ascii="Arial" w:hAnsi="Arial" w:cs="Arial"/>
                <w:sz w:val="20"/>
                <w:szCs w:val="20"/>
              </w:rPr>
            </w:pPr>
            <w:r w:rsidRPr="001F0712">
              <w:rPr>
                <w:rFonts w:ascii="Arial" w:hAnsi="Arial" w:cs="Arial"/>
                <w:sz w:val="20"/>
                <w:szCs w:val="20"/>
              </w:rPr>
              <w:t>Continuous professional development</w:t>
            </w:r>
          </w:p>
        </w:tc>
        <w:tc>
          <w:tcPr>
            <w:tcW w:w="1378" w:type="dxa"/>
          </w:tcPr>
          <w:p w14:paraId="4156601A" w14:textId="6504F036" w:rsidR="00BF3433" w:rsidRPr="001F0712" w:rsidRDefault="0037003D" w:rsidP="00735BDA">
            <w:pPr>
              <w:autoSpaceDE w:val="0"/>
              <w:autoSpaceDN w:val="0"/>
              <w:adjustRightInd w:val="0"/>
              <w:jc w:val="right"/>
              <w:rPr>
                <w:rFonts w:ascii="Arial" w:hAnsi="Arial" w:cs="Arial"/>
                <w:sz w:val="20"/>
                <w:szCs w:val="20"/>
              </w:rPr>
            </w:pPr>
            <w:r w:rsidRPr="001F0712">
              <w:rPr>
                <w:rFonts w:ascii="Arial" w:hAnsi="Arial" w:cs="Arial"/>
                <w:sz w:val="20"/>
                <w:szCs w:val="20"/>
              </w:rPr>
              <w:t xml:space="preserve">Employer’s </w:t>
            </w:r>
            <w:r w:rsidR="0054653C" w:rsidRPr="001F0712">
              <w:rPr>
                <w:rFonts w:ascii="Arial" w:hAnsi="Arial" w:cs="Arial"/>
                <w:sz w:val="20"/>
                <w:szCs w:val="20"/>
              </w:rPr>
              <w:t>n</w:t>
            </w:r>
            <w:r w:rsidR="00285C9B" w:rsidRPr="001F0712">
              <w:rPr>
                <w:rFonts w:ascii="Arial" w:hAnsi="Arial" w:cs="Arial"/>
                <w:sz w:val="20"/>
                <w:szCs w:val="20"/>
              </w:rPr>
              <w:t xml:space="preserve">ational </w:t>
            </w:r>
            <w:r w:rsidR="0054653C" w:rsidRPr="001F0712">
              <w:rPr>
                <w:rFonts w:ascii="Arial" w:hAnsi="Arial" w:cs="Arial"/>
                <w:sz w:val="20"/>
                <w:szCs w:val="20"/>
              </w:rPr>
              <w:t>i</w:t>
            </w:r>
            <w:r w:rsidR="00285C9B" w:rsidRPr="001F0712">
              <w:rPr>
                <w:rFonts w:ascii="Arial" w:hAnsi="Arial" w:cs="Arial"/>
                <w:sz w:val="20"/>
                <w:szCs w:val="20"/>
              </w:rPr>
              <w:t>nsurance</w:t>
            </w:r>
          </w:p>
        </w:tc>
        <w:tc>
          <w:tcPr>
            <w:tcW w:w="1417" w:type="dxa"/>
          </w:tcPr>
          <w:p w14:paraId="38FFF19C" w14:textId="57989908" w:rsidR="00BF3433" w:rsidRPr="001F0712" w:rsidRDefault="0037003D" w:rsidP="00735BDA">
            <w:pPr>
              <w:autoSpaceDE w:val="0"/>
              <w:autoSpaceDN w:val="0"/>
              <w:adjustRightInd w:val="0"/>
              <w:jc w:val="right"/>
              <w:rPr>
                <w:rFonts w:ascii="Arial" w:hAnsi="Arial" w:cs="Arial"/>
                <w:sz w:val="20"/>
                <w:szCs w:val="20"/>
              </w:rPr>
            </w:pPr>
            <w:r w:rsidRPr="001F0712">
              <w:rPr>
                <w:rFonts w:ascii="Arial" w:hAnsi="Arial" w:cs="Arial"/>
                <w:sz w:val="20"/>
                <w:szCs w:val="20"/>
              </w:rPr>
              <w:t>Employer’s pension contributions</w:t>
            </w:r>
          </w:p>
        </w:tc>
        <w:tc>
          <w:tcPr>
            <w:tcW w:w="1215" w:type="dxa"/>
          </w:tcPr>
          <w:p w14:paraId="08E6A213" w14:textId="45827644" w:rsidR="00BF3433" w:rsidRPr="001F0712" w:rsidRDefault="00BF3433" w:rsidP="00735BDA">
            <w:pPr>
              <w:autoSpaceDE w:val="0"/>
              <w:autoSpaceDN w:val="0"/>
              <w:adjustRightInd w:val="0"/>
              <w:jc w:val="right"/>
              <w:rPr>
                <w:rFonts w:ascii="Arial" w:hAnsi="Arial" w:cs="Arial"/>
                <w:sz w:val="20"/>
                <w:szCs w:val="20"/>
              </w:rPr>
            </w:pPr>
            <w:r w:rsidRPr="001F0712">
              <w:rPr>
                <w:rFonts w:ascii="Arial" w:hAnsi="Arial" w:cs="Arial"/>
                <w:sz w:val="20"/>
                <w:szCs w:val="20"/>
              </w:rPr>
              <w:t>Total</w:t>
            </w:r>
          </w:p>
        </w:tc>
      </w:tr>
      <w:tr w:rsidR="00751AFB" w:rsidRPr="001F0712" w14:paraId="4A56FA5D" w14:textId="77777777" w:rsidTr="003325C1">
        <w:tc>
          <w:tcPr>
            <w:tcW w:w="3397" w:type="dxa"/>
          </w:tcPr>
          <w:p w14:paraId="603DFD24" w14:textId="77777777" w:rsidR="00751AFB" w:rsidRPr="001F0712" w:rsidRDefault="00751AFB" w:rsidP="00751AFB">
            <w:pPr>
              <w:autoSpaceDE w:val="0"/>
              <w:autoSpaceDN w:val="0"/>
              <w:adjustRightInd w:val="0"/>
              <w:rPr>
                <w:rFonts w:ascii="Arial" w:hAnsi="Arial" w:cs="Arial"/>
                <w:sz w:val="20"/>
                <w:szCs w:val="20"/>
              </w:rPr>
            </w:pPr>
            <w:r w:rsidRPr="001F0712">
              <w:rPr>
                <w:rFonts w:ascii="Arial" w:hAnsi="Arial" w:cs="Arial"/>
                <w:sz w:val="20"/>
                <w:szCs w:val="20"/>
              </w:rPr>
              <w:t>Chief Fire Officer</w:t>
            </w:r>
          </w:p>
        </w:tc>
        <w:tc>
          <w:tcPr>
            <w:tcW w:w="1348" w:type="dxa"/>
          </w:tcPr>
          <w:p w14:paraId="49B9F0AE" w14:textId="363DEA58" w:rsidR="00751AFB" w:rsidRPr="001F0712" w:rsidRDefault="00751AFB" w:rsidP="00D667A6">
            <w:pPr>
              <w:autoSpaceDE w:val="0"/>
              <w:autoSpaceDN w:val="0"/>
              <w:adjustRightInd w:val="0"/>
              <w:ind w:right="41"/>
              <w:jc w:val="right"/>
              <w:rPr>
                <w:rFonts w:ascii="Arial" w:hAnsi="Arial" w:cs="Arial"/>
                <w:color w:val="000000"/>
                <w:sz w:val="20"/>
                <w:szCs w:val="20"/>
              </w:rPr>
            </w:pPr>
            <w:r w:rsidRPr="001F0712">
              <w:rPr>
                <w:rFonts w:ascii="Arial" w:hAnsi="Arial" w:cs="Arial"/>
                <w:color w:val="000000"/>
                <w:sz w:val="20"/>
                <w:szCs w:val="20"/>
              </w:rPr>
              <w:t>£182,544</w:t>
            </w:r>
          </w:p>
        </w:tc>
        <w:tc>
          <w:tcPr>
            <w:tcW w:w="1134" w:type="dxa"/>
          </w:tcPr>
          <w:p w14:paraId="3EB285F2" w14:textId="0CA4631D" w:rsidR="00751AFB" w:rsidRPr="001F0712" w:rsidRDefault="00751AFB" w:rsidP="00751AFB">
            <w:pPr>
              <w:autoSpaceDE w:val="0"/>
              <w:autoSpaceDN w:val="0"/>
              <w:adjustRightInd w:val="0"/>
              <w:jc w:val="right"/>
              <w:rPr>
                <w:rFonts w:ascii="Arial" w:hAnsi="Arial" w:cs="Arial"/>
                <w:sz w:val="20"/>
                <w:szCs w:val="20"/>
              </w:rPr>
            </w:pPr>
            <w:r w:rsidRPr="001F0712">
              <w:rPr>
                <w:rFonts w:ascii="Arial" w:hAnsi="Arial" w:cs="Arial"/>
                <w:sz w:val="20"/>
                <w:szCs w:val="20"/>
              </w:rPr>
              <w:t>NIL</w:t>
            </w:r>
          </w:p>
        </w:tc>
        <w:tc>
          <w:tcPr>
            <w:tcW w:w="1144" w:type="dxa"/>
          </w:tcPr>
          <w:p w14:paraId="61C97977" w14:textId="7E7BB17B" w:rsidR="00751AFB" w:rsidRPr="001F0712" w:rsidRDefault="00751AFB" w:rsidP="00751AFB">
            <w:pPr>
              <w:autoSpaceDE w:val="0"/>
              <w:autoSpaceDN w:val="0"/>
              <w:adjustRightInd w:val="0"/>
              <w:jc w:val="right"/>
              <w:rPr>
                <w:rFonts w:ascii="Arial" w:hAnsi="Arial" w:cs="Arial"/>
                <w:sz w:val="20"/>
                <w:szCs w:val="20"/>
              </w:rPr>
            </w:pPr>
            <w:r w:rsidRPr="001F0712">
              <w:rPr>
                <w:rFonts w:ascii="Arial" w:hAnsi="Arial" w:cs="Arial"/>
                <w:sz w:val="20"/>
                <w:szCs w:val="20"/>
              </w:rPr>
              <w:t>NIL</w:t>
            </w:r>
          </w:p>
        </w:tc>
        <w:tc>
          <w:tcPr>
            <w:tcW w:w="1436" w:type="dxa"/>
          </w:tcPr>
          <w:p w14:paraId="0945C14C" w14:textId="0020A00D" w:rsidR="00751AFB" w:rsidRPr="001F0712" w:rsidRDefault="00751AFB" w:rsidP="00751AFB">
            <w:pPr>
              <w:autoSpaceDE w:val="0"/>
              <w:autoSpaceDN w:val="0"/>
              <w:adjustRightInd w:val="0"/>
              <w:jc w:val="right"/>
              <w:rPr>
                <w:rFonts w:ascii="Arial" w:hAnsi="Arial" w:cs="Arial"/>
                <w:sz w:val="20"/>
                <w:szCs w:val="20"/>
              </w:rPr>
            </w:pPr>
            <w:r w:rsidRPr="001F0712">
              <w:rPr>
                <w:rFonts w:ascii="Arial" w:hAnsi="Arial" w:cs="Arial"/>
                <w:sz w:val="20"/>
                <w:szCs w:val="20"/>
              </w:rPr>
              <w:t>NIL</w:t>
            </w:r>
          </w:p>
        </w:tc>
        <w:tc>
          <w:tcPr>
            <w:tcW w:w="1378" w:type="dxa"/>
            <w:vAlign w:val="bottom"/>
          </w:tcPr>
          <w:p w14:paraId="66EF9CC3" w14:textId="17859A83" w:rsidR="00751AFB" w:rsidRPr="001F0712" w:rsidRDefault="000373F6" w:rsidP="000373F6">
            <w:pPr>
              <w:autoSpaceDE w:val="0"/>
              <w:autoSpaceDN w:val="0"/>
              <w:adjustRightInd w:val="0"/>
              <w:ind w:left="85"/>
              <w:jc w:val="right"/>
              <w:rPr>
                <w:rFonts w:ascii="Arial" w:hAnsi="Arial" w:cs="Arial"/>
                <w:sz w:val="20"/>
                <w:szCs w:val="20"/>
              </w:rPr>
            </w:pPr>
            <w:r w:rsidRPr="001F0712">
              <w:rPr>
                <w:rFonts w:ascii="Arial" w:hAnsi="Arial" w:cs="Arial"/>
                <w:sz w:val="20"/>
                <w:szCs w:val="20"/>
              </w:rPr>
              <w:t>£</w:t>
            </w:r>
            <w:r w:rsidR="00751AFB" w:rsidRPr="001F0712">
              <w:rPr>
                <w:rFonts w:ascii="Arial" w:hAnsi="Arial" w:cs="Arial"/>
                <w:sz w:val="20"/>
                <w:szCs w:val="20"/>
              </w:rPr>
              <w:t>26,632</w:t>
            </w:r>
          </w:p>
        </w:tc>
        <w:tc>
          <w:tcPr>
            <w:tcW w:w="1417" w:type="dxa"/>
            <w:vAlign w:val="bottom"/>
          </w:tcPr>
          <w:p w14:paraId="20B6E0D4" w14:textId="2114EDF5" w:rsidR="00751AFB" w:rsidRPr="001F0712" w:rsidRDefault="000373F6" w:rsidP="000373F6">
            <w:pPr>
              <w:autoSpaceDE w:val="0"/>
              <w:autoSpaceDN w:val="0"/>
              <w:adjustRightInd w:val="0"/>
              <w:ind w:left="85"/>
              <w:jc w:val="right"/>
              <w:rPr>
                <w:rFonts w:ascii="Arial" w:hAnsi="Arial" w:cs="Arial"/>
                <w:sz w:val="20"/>
                <w:szCs w:val="20"/>
              </w:rPr>
            </w:pPr>
            <w:r w:rsidRPr="001F0712">
              <w:rPr>
                <w:rFonts w:ascii="Arial" w:hAnsi="Arial" w:cs="Arial"/>
                <w:sz w:val="20"/>
                <w:szCs w:val="20"/>
              </w:rPr>
              <w:t>£</w:t>
            </w:r>
            <w:r w:rsidR="00751AFB" w:rsidRPr="001F0712">
              <w:rPr>
                <w:rFonts w:ascii="Arial" w:hAnsi="Arial" w:cs="Arial"/>
                <w:sz w:val="20"/>
                <w:szCs w:val="20"/>
              </w:rPr>
              <w:t>68,637</w:t>
            </w:r>
          </w:p>
        </w:tc>
        <w:tc>
          <w:tcPr>
            <w:tcW w:w="1215" w:type="dxa"/>
            <w:vAlign w:val="bottom"/>
          </w:tcPr>
          <w:p w14:paraId="541525C6" w14:textId="47AE2BD6" w:rsidR="00751AFB" w:rsidRPr="001F0712" w:rsidRDefault="000373F6" w:rsidP="000373F6">
            <w:pPr>
              <w:autoSpaceDE w:val="0"/>
              <w:autoSpaceDN w:val="0"/>
              <w:adjustRightInd w:val="0"/>
              <w:ind w:left="85"/>
              <w:jc w:val="right"/>
              <w:rPr>
                <w:rFonts w:ascii="Arial" w:hAnsi="Arial" w:cs="Arial"/>
                <w:sz w:val="20"/>
                <w:szCs w:val="20"/>
              </w:rPr>
            </w:pPr>
            <w:r w:rsidRPr="001F0712">
              <w:rPr>
                <w:rFonts w:ascii="Arial" w:hAnsi="Arial" w:cs="Arial"/>
                <w:sz w:val="20"/>
                <w:szCs w:val="20"/>
              </w:rPr>
              <w:t>£</w:t>
            </w:r>
            <w:r w:rsidR="00751AFB" w:rsidRPr="001F0712">
              <w:rPr>
                <w:rFonts w:ascii="Arial" w:hAnsi="Arial" w:cs="Arial"/>
                <w:sz w:val="20"/>
                <w:szCs w:val="20"/>
              </w:rPr>
              <w:t>277,813</w:t>
            </w:r>
          </w:p>
        </w:tc>
      </w:tr>
      <w:tr w:rsidR="00751AFB" w:rsidRPr="001F0712" w14:paraId="39F00CC4" w14:textId="77777777" w:rsidTr="003325C1">
        <w:tc>
          <w:tcPr>
            <w:tcW w:w="3397" w:type="dxa"/>
          </w:tcPr>
          <w:p w14:paraId="05CFAF09" w14:textId="793BC001" w:rsidR="00751AFB" w:rsidRPr="001F0712" w:rsidRDefault="00751AFB" w:rsidP="00751AFB">
            <w:pPr>
              <w:autoSpaceDE w:val="0"/>
              <w:autoSpaceDN w:val="0"/>
              <w:adjustRightInd w:val="0"/>
              <w:rPr>
                <w:rFonts w:ascii="Arial" w:hAnsi="Arial" w:cs="Arial"/>
                <w:sz w:val="20"/>
                <w:szCs w:val="20"/>
              </w:rPr>
            </w:pPr>
            <w:r w:rsidRPr="001F0712">
              <w:rPr>
                <w:rFonts w:ascii="Arial" w:hAnsi="Arial" w:cs="Arial"/>
                <w:sz w:val="20"/>
                <w:szCs w:val="20"/>
              </w:rPr>
              <w:t>Deputy Chief Fire Officer</w:t>
            </w:r>
          </w:p>
        </w:tc>
        <w:tc>
          <w:tcPr>
            <w:tcW w:w="1348" w:type="dxa"/>
          </w:tcPr>
          <w:p w14:paraId="1045B906" w14:textId="0053FD20" w:rsidR="00751AFB" w:rsidRPr="001F0712" w:rsidRDefault="00751AFB" w:rsidP="00D667A6">
            <w:pPr>
              <w:autoSpaceDE w:val="0"/>
              <w:autoSpaceDN w:val="0"/>
              <w:adjustRightInd w:val="0"/>
              <w:ind w:right="41"/>
              <w:jc w:val="right"/>
              <w:rPr>
                <w:rFonts w:ascii="Arial" w:hAnsi="Arial" w:cs="Arial"/>
                <w:color w:val="000000"/>
                <w:sz w:val="20"/>
                <w:szCs w:val="20"/>
              </w:rPr>
            </w:pPr>
            <w:r w:rsidRPr="001F0712">
              <w:rPr>
                <w:rFonts w:ascii="Arial" w:hAnsi="Arial" w:cs="Arial"/>
                <w:color w:val="000000"/>
                <w:sz w:val="20"/>
                <w:szCs w:val="20"/>
              </w:rPr>
              <w:t>£155,163</w:t>
            </w:r>
          </w:p>
        </w:tc>
        <w:tc>
          <w:tcPr>
            <w:tcW w:w="1134" w:type="dxa"/>
          </w:tcPr>
          <w:p w14:paraId="7957FF2D" w14:textId="197B0DCE" w:rsidR="00751AFB" w:rsidRPr="001F0712" w:rsidRDefault="00751AFB" w:rsidP="00751AFB">
            <w:pPr>
              <w:autoSpaceDE w:val="0"/>
              <w:autoSpaceDN w:val="0"/>
              <w:adjustRightInd w:val="0"/>
              <w:jc w:val="right"/>
              <w:rPr>
                <w:rFonts w:ascii="Arial" w:hAnsi="Arial" w:cs="Arial"/>
                <w:sz w:val="20"/>
                <w:szCs w:val="20"/>
              </w:rPr>
            </w:pPr>
            <w:r w:rsidRPr="001F0712">
              <w:rPr>
                <w:rFonts w:ascii="Arial" w:hAnsi="Arial" w:cs="Arial"/>
                <w:sz w:val="20"/>
                <w:szCs w:val="20"/>
              </w:rPr>
              <w:t>NIL</w:t>
            </w:r>
          </w:p>
        </w:tc>
        <w:tc>
          <w:tcPr>
            <w:tcW w:w="1144" w:type="dxa"/>
          </w:tcPr>
          <w:p w14:paraId="3FE56A3E" w14:textId="6A54BFDB" w:rsidR="00751AFB" w:rsidRPr="001F0712" w:rsidRDefault="00751AFB" w:rsidP="00751AFB">
            <w:pPr>
              <w:autoSpaceDE w:val="0"/>
              <w:autoSpaceDN w:val="0"/>
              <w:adjustRightInd w:val="0"/>
              <w:jc w:val="right"/>
              <w:rPr>
                <w:rFonts w:ascii="Arial" w:hAnsi="Arial" w:cs="Arial"/>
                <w:sz w:val="20"/>
                <w:szCs w:val="20"/>
              </w:rPr>
            </w:pPr>
            <w:r w:rsidRPr="001F0712">
              <w:rPr>
                <w:rFonts w:ascii="Arial" w:hAnsi="Arial" w:cs="Arial"/>
                <w:sz w:val="20"/>
                <w:szCs w:val="20"/>
              </w:rPr>
              <w:t>NIL</w:t>
            </w:r>
          </w:p>
        </w:tc>
        <w:tc>
          <w:tcPr>
            <w:tcW w:w="1436" w:type="dxa"/>
          </w:tcPr>
          <w:p w14:paraId="5F29A0F7" w14:textId="7EA8B3FD" w:rsidR="00751AFB" w:rsidRPr="001F0712" w:rsidRDefault="00751AFB" w:rsidP="00751AFB">
            <w:pPr>
              <w:autoSpaceDE w:val="0"/>
              <w:autoSpaceDN w:val="0"/>
              <w:adjustRightInd w:val="0"/>
              <w:jc w:val="right"/>
              <w:rPr>
                <w:rFonts w:ascii="Arial" w:hAnsi="Arial" w:cs="Arial"/>
                <w:sz w:val="20"/>
                <w:szCs w:val="20"/>
              </w:rPr>
            </w:pPr>
            <w:r w:rsidRPr="001F0712">
              <w:rPr>
                <w:rFonts w:ascii="Arial" w:hAnsi="Arial" w:cs="Arial"/>
                <w:sz w:val="20"/>
                <w:szCs w:val="20"/>
              </w:rPr>
              <w:t>NIL</w:t>
            </w:r>
          </w:p>
        </w:tc>
        <w:tc>
          <w:tcPr>
            <w:tcW w:w="1378" w:type="dxa"/>
            <w:vAlign w:val="bottom"/>
          </w:tcPr>
          <w:p w14:paraId="105899B4" w14:textId="7B8548C9" w:rsidR="00751AFB" w:rsidRPr="001F0712" w:rsidRDefault="000373F6" w:rsidP="000373F6">
            <w:pPr>
              <w:autoSpaceDE w:val="0"/>
              <w:autoSpaceDN w:val="0"/>
              <w:adjustRightInd w:val="0"/>
              <w:ind w:left="85"/>
              <w:jc w:val="right"/>
              <w:rPr>
                <w:rFonts w:ascii="Arial" w:hAnsi="Arial" w:cs="Arial"/>
                <w:sz w:val="20"/>
                <w:szCs w:val="20"/>
              </w:rPr>
            </w:pPr>
            <w:r w:rsidRPr="001F0712">
              <w:rPr>
                <w:rFonts w:ascii="Arial" w:hAnsi="Arial" w:cs="Arial"/>
                <w:sz w:val="20"/>
                <w:szCs w:val="20"/>
              </w:rPr>
              <w:t>£</w:t>
            </w:r>
            <w:r w:rsidR="00751AFB" w:rsidRPr="001F0712">
              <w:rPr>
                <w:rFonts w:ascii="Arial" w:hAnsi="Arial" w:cs="Arial"/>
                <w:sz w:val="20"/>
                <w:szCs w:val="20"/>
              </w:rPr>
              <w:t>22,524</w:t>
            </w:r>
          </w:p>
        </w:tc>
        <w:tc>
          <w:tcPr>
            <w:tcW w:w="1417" w:type="dxa"/>
            <w:vAlign w:val="bottom"/>
          </w:tcPr>
          <w:p w14:paraId="646CE974" w14:textId="3AF98ECB" w:rsidR="00751AFB" w:rsidRPr="001F0712" w:rsidRDefault="000373F6" w:rsidP="000373F6">
            <w:pPr>
              <w:autoSpaceDE w:val="0"/>
              <w:autoSpaceDN w:val="0"/>
              <w:adjustRightInd w:val="0"/>
              <w:ind w:left="85"/>
              <w:jc w:val="right"/>
              <w:rPr>
                <w:rFonts w:ascii="Arial" w:hAnsi="Arial" w:cs="Arial"/>
                <w:sz w:val="20"/>
                <w:szCs w:val="20"/>
              </w:rPr>
            </w:pPr>
            <w:r w:rsidRPr="001F0712">
              <w:rPr>
                <w:rFonts w:ascii="Arial" w:hAnsi="Arial" w:cs="Arial"/>
                <w:sz w:val="20"/>
                <w:szCs w:val="20"/>
              </w:rPr>
              <w:t>£</w:t>
            </w:r>
            <w:r w:rsidR="00751AFB" w:rsidRPr="001F0712">
              <w:rPr>
                <w:rFonts w:ascii="Arial" w:hAnsi="Arial" w:cs="Arial"/>
                <w:sz w:val="20"/>
                <w:szCs w:val="20"/>
              </w:rPr>
              <w:t>58,341</w:t>
            </w:r>
          </w:p>
        </w:tc>
        <w:tc>
          <w:tcPr>
            <w:tcW w:w="1215" w:type="dxa"/>
            <w:vAlign w:val="bottom"/>
          </w:tcPr>
          <w:p w14:paraId="5B1118C4" w14:textId="7FD478BF" w:rsidR="00751AFB" w:rsidRPr="001F0712" w:rsidRDefault="000373F6" w:rsidP="000373F6">
            <w:pPr>
              <w:autoSpaceDE w:val="0"/>
              <w:autoSpaceDN w:val="0"/>
              <w:adjustRightInd w:val="0"/>
              <w:ind w:left="85"/>
              <w:jc w:val="right"/>
              <w:rPr>
                <w:rFonts w:ascii="Arial" w:hAnsi="Arial" w:cs="Arial"/>
                <w:sz w:val="20"/>
                <w:szCs w:val="20"/>
              </w:rPr>
            </w:pPr>
            <w:r w:rsidRPr="001F0712">
              <w:rPr>
                <w:rFonts w:ascii="Arial" w:hAnsi="Arial" w:cs="Arial"/>
                <w:sz w:val="20"/>
                <w:szCs w:val="20"/>
              </w:rPr>
              <w:t>£</w:t>
            </w:r>
            <w:r w:rsidR="00751AFB" w:rsidRPr="001F0712">
              <w:rPr>
                <w:rFonts w:ascii="Arial" w:hAnsi="Arial" w:cs="Arial"/>
                <w:sz w:val="20"/>
                <w:szCs w:val="20"/>
              </w:rPr>
              <w:t>236,028</w:t>
            </w:r>
          </w:p>
        </w:tc>
      </w:tr>
      <w:tr w:rsidR="000373F6" w:rsidRPr="001F0712" w14:paraId="6B2945EE" w14:textId="77777777" w:rsidTr="00F10107">
        <w:tc>
          <w:tcPr>
            <w:tcW w:w="3397" w:type="dxa"/>
            <w:tcBorders>
              <w:bottom w:val="single" w:sz="4" w:space="0" w:color="BFBFBF" w:themeColor="background1" w:themeShade="BF"/>
            </w:tcBorders>
          </w:tcPr>
          <w:p w14:paraId="492694D1" w14:textId="0EF8E5A5" w:rsidR="000373F6" w:rsidRPr="001F0712" w:rsidRDefault="000373F6" w:rsidP="000373F6">
            <w:pPr>
              <w:autoSpaceDE w:val="0"/>
              <w:autoSpaceDN w:val="0"/>
              <w:adjustRightInd w:val="0"/>
              <w:rPr>
                <w:rFonts w:ascii="Arial" w:hAnsi="Arial" w:cs="Arial"/>
                <w:sz w:val="20"/>
                <w:szCs w:val="20"/>
              </w:rPr>
            </w:pPr>
            <w:r w:rsidRPr="001F0712">
              <w:rPr>
                <w:rFonts w:ascii="Arial" w:hAnsi="Arial" w:cs="Arial"/>
                <w:sz w:val="20"/>
                <w:szCs w:val="20"/>
              </w:rPr>
              <w:t>Assistant Chief Fire Officer</w:t>
            </w:r>
          </w:p>
        </w:tc>
        <w:tc>
          <w:tcPr>
            <w:tcW w:w="1348" w:type="dxa"/>
            <w:tcBorders>
              <w:bottom w:val="single" w:sz="4" w:space="0" w:color="BFBFBF" w:themeColor="background1" w:themeShade="BF"/>
            </w:tcBorders>
          </w:tcPr>
          <w:p w14:paraId="1ABFA628" w14:textId="31226F38" w:rsidR="000373F6" w:rsidRPr="001F0712" w:rsidRDefault="000373F6" w:rsidP="00D667A6">
            <w:pPr>
              <w:autoSpaceDE w:val="0"/>
              <w:autoSpaceDN w:val="0"/>
              <w:adjustRightInd w:val="0"/>
              <w:ind w:right="41"/>
              <w:jc w:val="right"/>
              <w:rPr>
                <w:rFonts w:ascii="Arial" w:hAnsi="Arial" w:cs="Arial"/>
                <w:color w:val="000000"/>
                <w:sz w:val="20"/>
                <w:szCs w:val="20"/>
              </w:rPr>
            </w:pPr>
            <w:r w:rsidRPr="001F0712">
              <w:rPr>
                <w:rFonts w:ascii="Arial" w:hAnsi="Arial" w:cs="Arial"/>
                <w:color w:val="000000"/>
                <w:sz w:val="20"/>
                <w:szCs w:val="20"/>
              </w:rPr>
              <w:t>£146,035</w:t>
            </w:r>
          </w:p>
        </w:tc>
        <w:tc>
          <w:tcPr>
            <w:tcW w:w="1134" w:type="dxa"/>
            <w:tcBorders>
              <w:bottom w:val="single" w:sz="4" w:space="0" w:color="BFBFBF" w:themeColor="background1" w:themeShade="BF"/>
            </w:tcBorders>
          </w:tcPr>
          <w:p w14:paraId="608A73D6" w14:textId="20CD4924" w:rsidR="000373F6" w:rsidRPr="001F0712" w:rsidRDefault="000373F6" w:rsidP="000373F6">
            <w:pPr>
              <w:autoSpaceDE w:val="0"/>
              <w:autoSpaceDN w:val="0"/>
              <w:adjustRightInd w:val="0"/>
              <w:jc w:val="right"/>
              <w:rPr>
                <w:rFonts w:ascii="Arial" w:hAnsi="Arial" w:cs="Arial"/>
                <w:sz w:val="20"/>
                <w:szCs w:val="20"/>
              </w:rPr>
            </w:pPr>
            <w:r w:rsidRPr="001F0712">
              <w:rPr>
                <w:rFonts w:ascii="Arial" w:hAnsi="Arial" w:cs="Arial"/>
                <w:sz w:val="20"/>
                <w:szCs w:val="20"/>
              </w:rPr>
              <w:t>NIL</w:t>
            </w:r>
          </w:p>
        </w:tc>
        <w:tc>
          <w:tcPr>
            <w:tcW w:w="1144" w:type="dxa"/>
            <w:tcBorders>
              <w:bottom w:val="single" w:sz="4" w:space="0" w:color="BFBFBF" w:themeColor="background1" w:themeShade="BF"/>
            </w:tcBorders>
          </w:tcPr>
          <w:p w14:paraId="3A8ACC35" w14:textId="50511E48" w:rsidR="000373F6" w:rsidRPr="001F0712" w:rsidRDefault="000373F6" w:rsidP="000373F6">
            <w:pPr>
              <w:autoSpaceDE w:val="0"/>
              <w:autoSpaceDN w:val="0"/>
              <w:adjustRightInd w:val="0"/>
              <w:jc w:val="right"/>
              <w:rPr>
                <w:rFonts w:ascii="Arial" w:hAnsi="Arial" w:cs="Arial"/>
                <w:sz w:val="20"/>
                <w:szCs w:val="20"/>
              </w:rPr>
            </w:pPr>
            <w:r w:rsidRPr="001F0712">
              <w:rPr>
                <w:rFonts w:ascii="Arial" w:hAnsi="Arial" w:cs="Arial"/>
                <w:sz w:val="20"/>
                <w:szCs w:val="20"/>
              </w:rPr>
              <w:t>NIL</w:t>
            </w:r>
          </w:p>
        </w:tc>
        <w:tc>
          <w:tcPr>
            <w:tcW w:w="1436" w:type="dxa"/>
            <w:tcBorders>
              <w:bottom w:val="single" w:sz="4" w:space="0" w:color="BFBFBF" w:themeColor="background1" w:themeShade="BF"/>
            </w:tcBorders>
          </w:tcPr>
          <w:p w14:paraId="79C8E391" w14:textId="290DE3A1" w:rsidR="000373F6" w:rsidRPr="001F0712" w:rsidRDefault="000373F6" w:rsidP="000373F6">
            <w:pPr>
              <w:autoSpaceDE w:val="0"/>
              <w:autoSpaceDN w:val="0"/>
              <w:adjustRightInd w:val="0"/>
              <w:jc w:val="right"/>
              <w:rPr>
                <w:rFonts w:ascii="Arial" w:hAnsi="Arial" w:cs="Arial"/>
                <w:sz w:val="20"/>
                <w:szCs w:val="20"/>
              </w:rPr>
            </w:pPr>
            <w:r w:rsidRPr="001F0712">
              <w:rPr>
                <w:rFonts w:ascii="Arial" w:hAnsi="Arial" w:cs="Arial"/>
                <w:sz w:val="20"/>
                <w:szCs w:val="20"/>
              </w:rPr>
              <w:t>NIL</w:t>
            </w:r>
          </w:p>
        </w:tc>
        <w:tc>
          <w:tcPr>
            <w:tcW w:w="1378" w:type="dxa"/>
            <w:tcBorders>
              <w:bottom w:val="single" w:sz="4" w:space="0" w:color="BFBFBF" w:themeColor="background1" w:themeShade="BF"/>
            </w:tcBorders>
            <w:vAlign w:val="bottom"/>
          </w:tcPr>
          <w:p w14:paraId="7B8DC6C2" w14:textId="434645E0" w:rsidR="000373F6" w:rsidRPr="001F0712" w:rsidRDefault="000373F6" w:rsidP="000373F6">
            <w:pPr>
              <w:autoSpaceDE w:val="0"/>
              <w:autoSpaceDN w:val="0"/>
              <w:adjustRightInd w:val="0"/>
              <w:ind w:left="85"/>
              <w:jc w:val="right"/>
              <w:rPr>
                <w:rFonts w:ascii="Arial" w:hAnsi="Arial" w:cs="Arial"/>
                <w:sz w:val="20"/>
                <w:szCs w:val="20"/>
              </w:rPr>
            </w:pPr>
            <w:r w:rsidRPr="001F0712">
              <w:rPr>
                <w:rFonts w:ascii="Arial" w:hAnsi="Arial" w:cs="Arial"/>
                <w:sz w:val="20"/>
                <w:szCs w:val="20"/>
              </w:rPr>
              <w:t>£21,155</w:t>
            </w:r>
          </w:p>
        </w:tc>
        <w:tc>
          <w:tcPr>
            <w:tcW w:w="1417" w:type="dxa"/>
            <w:tcBorders>
              <w:bottom w:val="single" w:sz="4" w:space="0" w:color="BFBFBF" w:themeColor="background1" w:themeShade="BF"/>
            </w:tcBorders>
            <w:vAlign w:val="bottom"/>
          </w:tcPr>
          <w:p w14:paraId="182DE804" w14:textId="12E7E3D5" w:rsidR="000373F6" w:rsidRPr="001F0712" w:rsidRDefault="000373F6" w:rsidP="000373F6">
            <w:pPr>
              <w:autoSpaceDE w:val="0"/>
              <w:autoSpaceDN w:val="0"/>
              <w:adjustRightInd w:val="0"/>
              <w:ind w:left="85"/>
              <w:jc w:val="right"/>
              <w:rPr>
                <w:rFonts w:ascii="Arial" w:hAnsi="Arial" w:cs="Arial"/>
                <w:sz w:val="20"/>
                <w:szCs w:val="20"/>
              </w:rPr>
            </w:pPr>
            <w:r w:rsidRPr="001F0712">
              <w:rPr>
                <w:rFonts w:ascii="Arial" w:hAnsi="Arial" w:cs="Arial"/>
                <w:sz w:val="20"/>
                <w:szCs w:val="20"/>
              </w:rPr>
              <w:t>£54,909</w:t>
            </w:r>
          </w:p>
        </w:tc>
        <w:tc>
          <w:tcPr>
            <w:tcW w:w="1215" w:type="dxa"/>
            <w:tcBorders>
              <w:bottom w:val="single" w:sz="4" w:space="0" w:color="BFBFBF" w:themeColor="background1" w:themeShade="BF"/>
            </w:tcBorders>
            <w:vAlign w:val="bottom"/>
          </w:tcPr>
          <w:p w14:paraId="2ACF3B78" w14:textId="152934F8" w:rsidR="000373F6" w:rsidRPr="001F0712" w:rsidRDefault="000373F6" w:rsidP="000373F6">
            <w:pPr>
              <w:autoSpaceDE w:val="0"/>
              <w:autoSpaceDN w:val="0"/>
              <w:adjustRightInd w:val="0"/>
              <w:ind w:left="85"/>
              <w:jc w:val="right"/>
              <w:rPr>
                <w:rFonts w:ascii="Arial" w:hAnsi="Arial" w:cs="Arial"/>
                <w:sz w:val="20"/>
                <w:szCs w:val="20"/>
              </w:rPr>
            </w:pPr>
            <w:r w:rsidRPr="001F0712">
              <w:rPr>
                <w:rFonts w:ascii="Arial" w:hAnsi="Arial" w:cs="Arial"/>
                <w:sz w:val="20"/>
                <w:szCs w:val="20"/>
              </w:rPr>
              <w:t>£222,099</w:t>
            </w:r>
          </w:p>
        </w:tc>
      </w:tr>
      <w:tr w:rsidR="00F10107" w:rsidRPr="001F0712" w14:paraId="35DA819F" w14:textId="77777777" w:rsidTr="00F10107">
        <w:tc>
          <w:tcPr>
            <w:tcW w:w="3397" w:type="dxa"/>
            <w:tcBorders>
              <w:bottom w:val="single" w:sz="4" w:space="0" w:color="BFBFBF" w:themeColor="background1" w:themeShade="BF"/>
              <w:right w:val="nil"/>
            </w:tcBorders>
          </w:tcPr>
          <w:p w14:paraId="3CDB064D" w14:textId="77777777" w:rsidR="00F10107" w:rsidRPr="001F0712" w:rsidRDefault="00F10107" w:rsidP="000373F6">
            <w:pPr>
              <w:autoSpaceDE w:val="0"/>
              <w:autoSpaceDN w:val="0"/>
              <w:adjustRightInd w:val="0"/>
              <w:rPr>
                <w:rFonts w:ascii="Arial" w:hAnsi="Arial" w:cs="Arial"/>
                <w:sz w:val="20"/>
                <w:szCs w:val="20"/>
              </w:rPr>
            </w:pPr>
          </w:p>
        </w:tc>
        <w:tc>
          <w:tcPr>
            <w:tcW w:w="1348" w:type="dxa"/>
            <w:tcBorders>
              <w:left w:val="nil"/>
              <w:bottom w:val="single" w:sz="4" w:space="0" w:color="BFBFBF" w:themeColor="background1" w:themeShade="BF"/>
              <w:right w:val="nil"/>
            </w:tcBorders>
          </w:tcPr>
          <w:p w14:paraId="398D8AD8" w14:textId="77777777" w:rsidR="00F10107" w:rsidRPr="001F0712" w:rsidRDefault="00F10107" w:rsidP="00D667A6">
            <w:pPr>
              <w:autoSpaceDE w:val="0"/>
              <w:autoSpaceDN w:val="0"/>
              <w:adjustRightInd w:val="0"/>
              <w:ind w:right="41"/>
              <w:jc w:val="right"/>
              <w:rPr>
                <w:rFonts w:ascii="Arial" w:hAnsi="Arial" w:cs="Arial"/>
                <w:color w:val="000000"/>
                <w:sz w:val="20"/>
                <w:szCs w:val="20"/>
              </w:rPr>
            </w:pPr>
          </w:p>
        </w:tc>
        <w:tc>
          <w:tcPr>
            <w:tcW w:w="1134" w:type="dxa"/>
            <w:tcBorders>
              <w:left w:val="nil"/>
              <w:bottom w:val="single" w:sz="4" w:space="0" w:color="BFBFBF" w:themeColor="background1" w:themeShade="BF"/>
              <w:right w:val="nil"/>
            </w:tcBorders>
          </w:tcPr>
          <w:p w14:paraId="06145644" w14:textId="77777777" w:rsidR="00F10107" w:rsidRPr="001F0712" w:rsidRDefault="00F10107" w:rsidP="000373F6">
            <w:pPr>
              <w:autoSpaceDE w:val="0"/>
              <w:autoSpaceDN w:val="0"/>
              <w:adjustRightInd w:val="0"/>
              <w:jc w:val="right"/>
              <w:rPr>
                <w:rFonts w:ascii="Arial" w:hAnsi="Arial" w:cs="Arial"/>
                <w:sz w:val="20"/>
                <w:szCs w:val="20"/>
              </w:rPr>
            </w:pPr>
          </w:p>
        </w:tc>
        <w:tc>
          <w:tcPr>
            <w:tcW w:w="1144" w:type="dxa"/>
            <w:tcBorders>
              <w:left w:val="nil"/>
              <w:bottom w:val="single" w:sz="4" w:space="0" w:color="BFBFBF" w:themeColor="background1" w:themeShade="BF"/>
              <w:right w:val="nil"/>
            </w:tcBorders>
          </w:tcPr>
          <w:p w14:paraId="553E215B" w14:textId="77777777" w:rsidR="00F10107" w:rsidRPr="001F0712" w:rsidRDefault="00F10107" w:rsidP="000373F6">
            <w:pPr>
              <w:autoSpaceDE w:val="0"/>
              <w:autoSpaceDN w:val="0"/>
              <w:adjustRightInd w:val="0"/>
              <w:jc w:val="right"/>
              <w:rPr>
                <w:rFonts w:ascii="Arial" w:hAnsi="Arial" w:cs="Arial"/>
                <w:sz w:val="20"/>
                <w:szCs w:val="20"/>
              </w:rPr>
            </w:pPr>
          </w:p>
        </w:tc>
        <w:tc>
          <w:tcPr>
            <w:tcW w:w="1436" w:type="dxa"/>
            <w:tcBorders>
              <w:left w:val="nil"/>
              <w:bottom w:val="single" w:sz="4" w:space="0" w:color="BFBFBF" w:themeColor="background1" w:themeShade="BF"/>
              <w:right w:val="nil"/>
            </w:tcBorders>
          </w:tcPr>
          <w:p w14:paraId="4B9271CE" w14:textId="77777777" w:rsidR="00F10107" w:rsidRPr="001F0712" w:rsidRDefault="00F10107" w:rsidP="000373F6">
            <w:pPr>
              <w:autoSpaceDE w:val="0"/>
              <w:autoSpaceDN w:val="0"/>
              <w:adjustRightInd w:val="0"/>
              <w:jc w:val="right"/>
              <w:rPr>
                <w:rFonts w:ascii="Arial" w:hAnsi="Arial" w:cs="Arial"/>
                <w:sz w:val="20"/>
                <w:szCs w:val="20"/>
              </w:rPr>
            </w:pPr>
          </w:p>
        </w:tc>
        <w:tc>
          <w:tcPr>
            <w:tcW w:w="1378" w:type="dxa"/>
            <w:tcBorders>
              <w:left w:val="nil"/>
              <w:bottom w:val="single" w:sz="4" w:space="0" w:color="BFBFBF" w:themeColor="background1" w:themeShade="BF"/>
              <w:right w:val="nil"/>
            </w:tcBorders>
            <w:vAlign w:val="bottom"/>
          </w:tcPr>
          <w:p w14:paraId="4C24CC31" w14:textId="77777777" w:rsidR="00F10107" w:rsidRPr="001F0712" w:rsidRDefault="00F10107" w:rsidP="000373F6">
            <w:pPr>
              <w:autoSpaceDE w:val="0"/>
              <w:autoSpaceDN w:val="0"/>
              <w:adjustRightInd w:val="0"/>
              <w:ind w:left="85"/>
              <w:jc w:val="right"/>
              <w:rPr>
                <w:rFonts w:ascii="Arial" w:hAnsi="Arial" w:cs="Arial"/>
                <w:sz w:val="20"/>
                <w:szCs w:val="20"/>
              </w:rPr>
            </w:pPr>
          </w:p>
        </w:tc>
        <w:tc>
          <w:tcPr>
            <w:tcW w:w="1417" w:type="dxa"/>
            <w:tcBorders>
              <w:left w:val="nil"/>
              <w:bottom w:val="single" w:sz="4" w:space="0" w:color="BFBFBF" w:themeColor="background1" w:themeShade="BF"/>
              <w:right w:val="nil"/>
            </w:tcBorders>
            <w:vAlign w:val="bottom"/>
          </w:tcPr>
          <w:p w14:paraId="3ABA6445" w14:textId="77777777" w:rsidR="00F10107" w:rsidRPr="001F0712" w:rsidRDefault="00F10107" w:rsidP="000373F6">
            <w:pPr>
              <w:autoSpaceDE w:val="0"/>
              <w:autoSpaceDN w:val="0"/>
              <w:adjustRightInd w:val="0"/>
              <w:ind w:left="85"/>
              <w:jc w:val="right"/>
              <w:rPr>
                <w:rFonts w:ascii="Arial" w:hAnsi="Arial" w:cs="Arial"/>
                <w:sz w:val="20"/>
                <w:szCs w:val="20"/>
              </w:rPr>
            </w:pPr>
          </w:p>
        </w:tc>
        <w:tc>
          <w:tcPr>
            <w:tcW w:w="1215" w:type="dxa"/>
            <w:tcBorders>
              <w:left w:val="nil"/>
              <w:bottom w:val="single" w:sz="4" w:space="0" w:color="BFBFBF" w:themeColor="background1" w:themeShade="BF"/>
            </w:tcBorders>
            <w:vAlign w:val="bottom"/>
          </w:tcPr>
          <w:p w14:paraId="1BA57732" w14:textId="77777777" w:rsidR="00F10107" w:rsidRPr="001F0712" w:rsidRDefault="00F10107" w:rsidP="000373F6">
            <w:pPr>
              <w:autoSpaceDE w:val="0"/>
              <w:autoSpaceDN w:val="0"/>
              <w:adjustRightInd w:val="0"/>
              <w:ind w:left="85"/>
              <w:jc w:val="right"/>
              <w:rPr>
                <w:rFonts w:ascii="Arial" w:hAnsi="Arial" w:cs="Arial"/>
                <w:sz w:val="20"/>
                <w:szCs w:val="20"/>
              </w:rPr>
            </w:pPr>
          </w:p>
        </w:tc>
      </w:tr>
      <w:tr w:rsidR="00F745D0" w:rsidRPr="001F0712" w14:paraId="4FBFCF5D" w14:textId="77777777" w:rsidTr="003325C1">
        <w:trPr>
          <w:trHeight w:val="70"/>
        </w:trPr>
        <w:tc>
          <w:tcPr>
            <w:tcW w:w="3397" w:type="dxa"/>
          </w:tcPr>
          <w:p w14:paraId="64DA4DC7" w14:textId="1FB6FB71" w:rsidR="00F745D0" w:rsidRPr="00526755" w:rsidRDefault="00F745D0" w:rsidP="00F745D0">
            <w:pPr>
              <w:autoSpaceDE w:val="0"/>
              <w:autoSpaceDN w:val="0"/>
              <w:adjustRightInd w:val="0"/>
              <w:rPr>
                <w:rFonts w:ascii="Arial" w:hAnsi="Arial" w:cs="Arial"/>
                <w:color w:val="215E99" w:themeColor="text2" w:themeTint="BF"/>
                <w:sz w:val="20"/>
                <w:szCs w:val="20"/>
              </w:rPr>
            </w:pPr>
            <w:r w:rsidRPr="00526755">
              <w:rPr>
                <w:rFonts w:ascii="Arial" w:hAnsi="Arial" w:cs="Arial"/>
                <w:b/>
                <w:bCs/>
                <w:color w:val="215E99" w:themeColor="text2" w:themeTint="BF"/>
                <w:sz w:val="20"/>
                <w:szCs w:val="20"/>
              </w:rPr>
              <w:t xml:space="preserve">Grey Book chief officers </w:t>
            </w:r>
          </w:p>
        </w:tc>
        <w:tc>
          <w:tcPr>
            <w:tcW w:w="1348" w:type="dxa"/>
          </w:tcPr>
          <w:p w14:paraId="1CD85556" w14:textId="1EC73B72" w:rsidR="00F745D0" w:rsidRPr="001F0712" w:rsidRDefault="00F745D0" w:rsidP="00F745D0">
            <w:pPr>
              <w:autoSpaceDE w:val="0"/>
              <w:autoSpaceDN w:val="0"/>
              <w:adjustRightInd w:val="0"/>
              <w:ind w:right="41"/>
              <w:jc w:val="right"/>
              <w:rPr>
                <w:rFonts w:ascii="Arial" w:hAnsi="Arial" w:cs="Arial"/>
                <w:color w:val="000000"/>
                <w:sz w:val="20"/>
                <w:szCs w:val="20"/>
              </w:rPr>
            </w:pPr>
            <w:r w:rsidRPr="001F0712">
              <w:rPr>
                <w:rFonts w:ascii="Arial" w:hAnsi="Arial" w:cs="Arial"/>
                <w:sz w:val="20"/>
                <w:szCs w:val="20"/>
              </w:rPr>
              <w:t>Salary</w:t>
            </w:r>
            <w:r w:rsidRPr="001F0712">
              <w:rPr>
                <w:rFonts w:ascii="Arial" w:hAnsi="Arial" w:cs="Arial"/>
                <w:i/>
                <w:iCs/>
                <w:sz w:val="20"/>
                <w:szCs w:val="20"/>
              </w:rPr>
              <w:t xml:space="preserve"> </w:t>
            </w:r>
            <w:r w:rsidRPr="001F0712">
              <w:rPr>
                <w:rFonts w:ascii="Arial" w:hAnsi="Arial" w:cs="Arial"/>
                <w:sz w:val="20"/>
                <w:szCs w:val="20"/>
              </w:rPr>
              <w:t xml:space="preserve">(from </w:t>
            </w:r>
            <w:r w:rsidRPr="001F0712">
              <w:rPr>
                <w:rFonts w:ascii="Arial" w:hAnsi="Arial" w:cs="Arial"/>
                <w:sz w:val="20"/>
                <w:szCs w:val="20"/>
                <w:u w:val="single"/>
              </w:rPr>
              <w:t>1 July 2024</w:t>
            </w:r>
            <w:r w:rsidRPr="001F0712">
              <w:rPr>
                <w:rFonts w:ascii="Arial" w:hAnsi="Arial" w:cs="Arial"/>
                <w:b/>
                <w:bCs/>
                <w:color w:val="0070C0"/>
                <w:sz w:val="20"/>
                <w:szCs w:val="20"/>
              </w:rPr>
              <w:t>*</w:t>
            </w:r>
            <w:r w:rsidRPr="001F0712">
              <w:rPr>
                <w:rFonts w:ascii="Arial" w:hAnsi="Arial" w:cs="Arial"/>
                <w:sz w:val="20"/>
                <w:szCs w:val="20"/>
              </w:rPr>
              <w:t>)</w:t>
            </w:r>
          </w:p>
        </w:tc>
        <w:tc>
          <w:tcPr>
            <w:tcW w:w="1134" w:type="dxa"/>
          </w:tcPr>
          <w:p w14:paraId="324E81C2" w14:textId="5C404F91" w:rsidR="00F745D0" w:rsidRPr="001F0712" w:rsidRDefault="00F745D0" w:rsidP="00F745D0">
            <w:pPr>
              <w:jc w:val="right"/>
              <w:rPr>
                <w:rFonts w:ascii="Arial" w:hAnsi="Arial" w:cs="Arial"/>
                <w:sz w:val="20"/>
                <w:szCs w:val="20"/>
              </w:rPr>
            </w:pPr>
            <w:r w:rsidRPr="001F0712">
              <w:rPr>
                <w:rFonts w:ascii="Arial" w:hAnsi="Arial" w:cs="Arial"/>
                <w:sz w:val="20"/>
                <w:szCs w:val="20"/>
              </w:rPr>
              <w:t>Rota allowance</w:t>
            </w:r>
          </w:p>
        </w:tc>
        <w:tc>
          <w:tcPr>
            <w:tcW w:w="1144" w:type="dxa"/>
          </w:tcPr>
          <w:p w14:paraId="08D4CE31" w14:textId="2A394EA2" w:rsidR="00F745D0" w:rsidRPr="001F0712" w:rsidRDefault="00F745D0" w:rsidP="00F745D0">
            <w:pPr>
              <w:autoSpaceDE w:val="0"/>
              <w:autoSpaceDN w:val="0"/>
              <w:adjustRightInd w:val="0"/>
              <w:jc w:val="right"/>
              <w:rPr>
                <w:rFonts w:ascii="Arial" w:hAnsi="Arial" w:cs="Arial"/>
                <w:sz w:val="20"/>
                <w:szCs w:val="20"/>
              </w:rPr>
            </w:pPr>
            <w:r w:rsidRPr="001F0712">
              <w:rPr>
                <w:rFonts w:ascii="Arial" w:hAnsi="Arial" w:cs="Arial"/>
                <w:sz w:val="20"/>
                <w:szCs w:val="20"/>
              </w:rPr>
              <w:t>Area Manager allowance</w:t>
            </w:r>
          </w:p>
        </w:tc>
        <w:tc>
          <w:tcPr>
            <w:tcW w:w="1436" w:type="dxa"/>
          </w:tcPr>
          <w:p w14:paraId="66F6D1B0" w14:textId="738A7856" w:rsidR="00F745D0" w:rsidRPr="001F0712" w:rsidRDefault="00F745D0" w:rsidP="00F745D0">
            <w:pPr>
              <w:autoSpaceDE w:val="0"/>
              <w:autoSpaceDN w:val="0"/>
              <w:adjustRightInd w:val="0"/>
              <w:jc w:val="right"/>
              <w:rPr>
                <w:rFonts w:ascii="Arial" w:hAnsi="Arial" w:cs="Arial"/>
                <w:sz w:val="20"/>
                <w:szCs w:val="20"/>
              </w:rPr>
            </w:pPr>
            <w:r w:rsidRPr="001F0712">
              <w:rPr>
                <w:rFonts w:ascii="Arial" w:hAnsi="Arial" w:cs="Arial"/>
                <w:sz w:val="20"/>
                <w:szCs w:val="20"/>
              </w:rPr>
              <w:t>Continuous professional development</w:t>
            </w:r>
          </w:p>
        </w:tc>
        <w:tc>
          <w:tcPr>
            <w:tcW w:w="1378" w:type="dxa"/>
          </w:tcPr>
          <w:p w14:paraId="67510E4A" w14:textId="7DAB484A" w:rsidR="00F745D0" w:rsidRPr="001F0712" w:rsidRDefault="00F745D0" w:rsidP="00F745D0">
            <w:pPr>
              <w:autoSpaceDE w:val="0"/>
              <w:autoSpaceDN w:val="0"/>
              <w:adjustRightInd w:val="0"/>
              <w:ind w:left="85"/>
              <w:jc w:val="right"/>
              <w:rPr>
                <w:rFonts w:ascii="Arial" w:hAnsi="Arial" w:cs="Arial"/>
                <w:sz w:val="20"/>
                <w:szCs w:val="20"/>
              </w:rPr>
            </w:pPr>
            <w:r w:rsidRPr="001F0712">
              <w:rPr>
                <w:rFonts w:ascii="Arial" w:hAnsi="Arial" w:cs="Arial"/>
                <w:sz w:val="20"/>
                <w:szCs w:val="20"/>
              </w:rPr>
              <w:t xml:space="preserve">Employer’s </w:t>
            </w:r>
            <w:r w:rsidR="0054653C" w:rsidRPr="001F0712">
              <w:rPr>
                <w:rFonts w:ascii="Arial" w:hAnsi="Arial" w:cs="Arial"/>
                <w:sz w:val="20"/>
                <w:szCs w:val="20"/>
              </w:rPr>
              <w:t>n</w:t>
            </w:r>
            <w:r w:rsidRPr="001F0712">
              <w:rPr>
                <w:rFonts w:ascii="Arial" w:hAnsi="Arial" w:cs="Arial"/>
                <w:sz w:val="20"/>
                <w:szCs w:val="20"/>
              </w:rPr>
              <w:t xml:space="preserve">ational </w:t>
            </w:r>
            <w:r w:rsidR="0054653C" w:rsidRPr="001F0712">
              <w:rPr>
                <w:rFonts w:ascii="Arial" w:hAnsi="Arial" w:cs="Arial"/>
                <w:sz w:val="20"/>
                <w:szCs w:val="20"/>
              </w:rPr>
              <w:t>i</w:t>
            </w:r>
            <w:r w:rsidRPr="001F0712">
              <w:rPr>
                <w:rFonts w:ascii="Arial" w:hAnsi="Arial" w:cs="Arial"/>
                <w:sz w:val="20"/>
                <w:szCs w:val="20"/>
              </w:rPr>
              <w:t>nsurance</w:t>
            </w:r>
          </w:p>
        </w:tc>
        <w:tc>
          <w:tcPr>
            <w:tcW w:w="1417" w:type="dxa"/>
          </w:tcPr>
          <w:p w14:paraId="602DA34A" w14:textId="44488471" w:rsidR="00F745D0" w:rsidRPr="001F0712" w:rsidRDefault="00F745D0" w:rsidP="00F745D0">
            <w:pPr>
              <w:autoSpaceDE w:val="0"/>
              <w:autoSpaceDN w:val="0"/>
              <w:adjustRightInd w:val="0"/>
              <w:ind w:left="-98"/>
              <w:jc w:val="right"/>
              <w:rPr>
                <w:rFonts w:ascii="Arial" w:hAnsi="Arial" w:cs="Arial"/>
                <w:sz w:val="20"/>
                <w:szCs w:val="20"/>
              </w:rPr>
            </w:pPr>
            <w:r w:rsidRPr="001F0712">
              <w:rPr>
                <w:rFonts w:ascii="Arial" w:hAnsi="Arial" w:cs="Arial"/>
                <w:sz w:val="20"/>
                <w:szCs w:val="20"/>
              </w:rPr>
              <w:t>Employer’s pension contributions</w:t>
            </w:r>
          </w:p>
        </w:tc>
        <w:tc>
          <w:tcPr>
            <w:tcW w:w="1215" w:type="dxa"/>
          </w:tcPr>
          <w:p w14:paraId="25D74D5E" w14:textId="2D0DB985" w:rsidR="00F745D0" w:rsidRPr="001F0712" w:rsidRDefault="00F745D0" w:rsidP="00F745D0">
            <w:pPr>
              <w:autoSpaceDE w:val="0"/>
              <w:autoSpaceDN w:val="0"/>
              <w:adjustRightInd w:val="0"/>
              <w:ind w:left="85"/>
              <w:jc w:val="right"/>
              <w:rPr>
                <w:rFonts w:ascii="Arial" w:hAnsi="Arial" w:cs="Arial"/>
                <w:sz w:val="20"/>
                <w:szCs w:val="20"/>
              </w:rPr>
            </w:pPr>
            <w:r w:rsidRPr="001F0712">
              <w:rPr>
                <w:rFonts w:ascii="Arial" w:hAnsi="Arial" w:cs="Arial"/>
                <w:sz w:val="20"/>
                <w:szCs w:val="20"/>
              </w:rPr>
              <w:t>Total</w:t>
            </w:r>
          </w:p>
        </w:tc>
      </w:tr>
      <w:tr w:rsidR="00F745D0" w:rsidRPr="001F0712" w14:paraId="7EE9BD37" w14:textId="77777777" w:rsidTr="003325C1">
        <w:trPr>
          <w:trHeight w:val="70"/>
        </w:trPr>
        <w:tc>
          <w:tcPr>
            <w:tcW w:w="3397" w:type="dxa"/>
          </w:tcPr>
          <w:p w14:paraId="09C7B6FE" w14:textId="7FF79413" w:rsidR="00F745D0" w:rsidRPr="001F0712" w:rsidRDefault="00F745D0" w:rsidP="00F745D0">
            <w:pPr>
              <w:autoSpaceDE w:val="0"/>
              <w:autoSpaceDN w:val="0"/>
              <w:adjustRightInd w:val="0"/>
              <w:rPr>
                <w:rFonts w:ascii="Arial" w:hAnsi="Arial" w:cs="Arial"/>
                <w:sz w:val="20"/>
                <w:szCs w:val="20"/>
              </w:rPr>
            </w:pPr>
            <w:r w:rsidRPr="001F0712">
              <w:rPr>
                <w:rFonts w:ascii="Arial" w:hAnsi="Arial" w:cs="Arial"/>
                <w:sz w:val="20"/>
                <w:szCs w:val="20"/>
              </w:rPr>
              <w:t>Area Managers</w:t>
            </w:r>
            <w:r w:rsidRPr="001F0712">
              <w:rPr>
                <w:rFonts w:ascii="Arial" w:hAnsi="Arial" w:cs="Arial"/>
                <w:i/>
                <w:iCs/>
                <w:sz w:val="20"/>
                <w:szCs w:val="20"/>
              </w:rPr>
              <w:t xml:space="preserve"> in development</w:t>
            </w:r>
          </w:p>
        </w:tc>
        <w:tc>
          <w:tcPr>
            <w:tcW w:w="1348" w:type="dxa"/>
            <w:vAlign w:val="bottom"/>
          </w:tcPr>
          <w:p w14:paraId="4DC3E9D7" w14:textId="57F8AC2A" w:rsidR="00F745D0" w:rsidRPr="001F0712" w:rsidRDefault="00F745D0" w:rsidP="00F745D0">
            <w:pPr>
              <w:autoSpaceDE w:val="0"/>
              <w:autoSpaceDN w:val="0"/>
              <w:adjustRightInd w:val="0"/>
              <w:ind w:right="41"/>
              <w:jc w:val="right"/>
              <w:rPr>
                <w:rFonts w:ascii="Arial" w:hAnsi="Arial" w:cs="Arial"/>
                <w:color w:val="000000"/>
                <w:sz w:val="20"/>
                <w:szCs w:val="20"/>
              </w:rPr>
            </w:pPr>
            <w:r w:rsidRPr="001F0712">
              <w:rPr>
                <w:rFonts w:ascii="Arial" w:hAnsi="Arial" w:cs="Arial"/>
                <w:color w:val="000000"/>
                <w:sz w:val="20"/>
                <w:szCs w:val="20"/>
              </w:rPr>
              <w:t>£65,690</w:t>
            </w:r>
          </w:p>
        </w:tc>
        <w:tc>
          <w:tcPr>
            <w:tcW w:w="1134" w:type="dxa"/>
          </w:tcPr>
          <w:p w14:paraId="6FEEC674" w14:textId="79F1AC7C" w:rsidR="00F745D0" w:rsidRPr="001F0712" w:rsidRDefault="00F745D0" w:rsidP="00F745D0">
            <w:pPr>
              <w:jc w:val="right"/>
              <w:rPr>
                <w:rFonts w:ascii="Arial" w:hAnsi="Arial" w:cs="Arial"/>
                <w:sz w:val="20"/>
                <w:szCs w:val="20"/>
              </w:rPr>
            </w:pPr>
            <w:r w:rsidRPr="001F0712">
              <w:rPr>
                <w:rFonts w:ascii="Arial" w:hAnsi="Arial" w:cs="Arial"/>
                <w:sz w:val="20"/>
                <w:szCs w:val="20"/>
              </w:rPr>
              <w:t xml:space="preserve">£19,379 </w:t>
            </w:r>
          </w:p>
        </w:tc>
        <w:tc>
          <w:tcPr>
            <w:tcW w:w="1144" w:type="dxa"/>
          </w:tcPr>
          <w:p w14:paraId="364038D1" w14:textId="4772FA19" w:rsidR="00F745D0" w:rsidRPr="001F0712" w:rsidRDefault="00F745D0" w:rsidP="00F745D0">
            <w:pPr>
              <w:autoSpaceDE w:val="0"/>
              <w:autoSpaceDN w:val="0"/>
              <w:adjustRightInd w:val="0"/>
              <w:jc w:val="right"/>
              <w:rPr>
                <w:rFonts w:ascii="Arial" w:hAnsi="Arial" w:cs="Arial"/>
                <w:sz w:val="20"/>
                <w:szCs w:val="20"/>
              </w:rPr>
            </w:pPr>
            <w:r w:rsidRPr="001F0712">
              <w:rPr>
                <w:rFonts w:ascii="Arial" w:hAnsi="Arial" w:cs="Arial"/>
                <w:sz w:val="20"/>
                <w:szCs w:val="20"/>
              </w:rPr>
              <w:t>£3,300</w:t>
            </w:r>
          </w:p>
        </w:tc>
        <w:tc>
          <w:tcPr>
            <w:tcW w:w="1436" w:type="dxa"/>
          </w:tcPr>
          <w:p w14:paraId="58D07A53" w14:textId="20F15E09" w:rsidR="00F745D0" w:rsidRPr="001F0712" w:rsidRDefault="00F745D0" w:rsidP="00F745D0">
            <w:pPr>
              <w:autoSpaceDE w:val="0"/>
              <w:autoSpaceDN w:val="0"/>
              <w:adjustRightInd w:val="0"/>
              <w:jc w:val="right"/>
              <w:rPr>
                <w:rFonts w:ascii="Arial" w:hAnsi="Arial" w:cs="Arial"/>
                <w:sz w:val="20"/>
                <w:szCs w:val="20"/>
              </w:rPr>
            </w:pPr>
            <w:r w:rsidRPr="001F0712">
              <w:rPr>
                <w:rFonts w:ascii="Arial" w:hAnsi="Arial" w:cs="Arial"/>
                <w:sz w:val="20"/>
                <w:szCs w:val="20"/>
              </w:rPr>
              <w:t>£1,211</w:t>
            </w:r>
          </w:p>
        </w:tc>
        <w:tc>
          <w:tcPr>
            <w:tcW w:w="1378" w:type="dxa"/>
            <w:vAlign w:val="bottom"/>
          </w:tcPr>
          <w:p w14:paraId="50F1982B" w14:textId="66B147A6" w:rsidR="00F745D0" w:rsidRPr="001F0712" w:rsidRDefault="00F745D0" w:rsidP="00F745D0">
            <w:pPr>
              <w:autoSpaceDE w:val="0"/>
              <w:autoSpaceDN w:val="0"/>
              <w:adjustRightInd w:val="0"/>
              <w:ind w:left="85"/>
              <w:jc w:val="right"/>
              <w:rPr>
                <w:rFonts w:ascii="Arial" w:hAnsi="Arial" w:cs="Arial"/>
                <w:sz w:val="20"/>
                <w:szCs w:val="20"/>
              </w:rPr>
            </w:pPr>
            <w:r w:rsidRPr="001F0712">
              <w:rPr>
                <w:rFonts w:ascii="Arial" w:hAnsi="Arial" w:cs="Arial"/>
                <w:sz w:val="20"/>
                <w:szCs w:val="20"/>
              </w:rPr>
              <w:t>£12,687</w:t>
            </w:r>
          </w:p>
        </w:tc>
        <w:tc>
          <w:tcPr>
            <w:tcW w:w="1417" w:type="dxa"/>
            <w:vAlign w:val="bottom"/>
          </w:tcPr>
          <w:p w14:paraId="5F67978A" w14:textId="3A1696FA" w:rsidR="00F745D0" w:rsidRPr="001F0712" w:rsidRDefault="00F745D0" w:rsidP="00F745D0">
            <w:pPr>
              <w:autoSpaceDE w:val="0"/>
              <w:autoSpaceDN w:val="0"/>
              <w:adjustRightInd w:val="0"/>
              <w:ind w:left="85"/>
              <w:jc w:val="right"/>
              <w:rPr>
                <w:rFonts w:ascii="Arial" w:hAnsi="Arial" w:cs="Arial"/>
                <w:sz w:val="20"/>
                <w:szCs w:val="20"/>
              </w:rPr>
            </w:pPr>
            <w:r w:rsidRPr="001F0712">
              <w:rPr>
                <w:rFonts w:ascii="Arial" w:hAnsi="Arial" w:cs="Arial"/>
                <w:sz w:val="20"/>
                <w:szCs w:val="20"/>
              </w:rPr>
              <w:t>£33,682</w:t>
            </w:r>
          </w:p>
        </w:tc>
        <w:tc>
          <w:tcPr>
            <w:tcW w:w="1215" w:type="dxa"/>
            <w:vAlign w:val="bottom"/>
          </w:tcPr>
          <w:p w14:paraId="242D74E2" w14:textId="0FAACF56" w:rsidR="00F745D0" w:rsidRPr="001F0712" w:rsidRDefault="00F745D0" w:rsidP="00F745D0">
            <w:pPr>
              <w:autoSpaceDE w:val="0"/>
              <w:autoSpaceDN w:val="0"/>
              <w:adjustRightInd w:val="0"/>
              <w:ind w:left="85"/>
              <w:jc w:val="right"/>
              <w:rPr>
                <w:rFonts w:ascii="Arial" w:hAnsi="Arial" w:cs="Arial"/>
                <w:sz w:val="20"/>
                <w:szCs w:val="20"/>
              </w:rPr>
            </w:pPr>
            <w:r w:rsidRPr="001F0712">
              <w:rPr>
                <w:rFonts w:ascii="Arial" w:hAnsi="Arial" w:cs="Arial"/>
                <w:sz w:val="20"/>
                <w:szCs w:val="20"/>
              </w:rPr>
              <w:t>£135,949</w:t>
            </w:r>
          </w:p>
        </w:tc>
      </w:tr>
      <w:tr w:rsidR="00F745D0" w:rsidRPr="001F0712" w14:paraId="5D47B546" w14:textId="77777777" w:rsidTr="00F10107">
        <w:trPr>
          <w:trHeight w:val="70"/>
        </w:trPr>
        <w:tc>
          <w:tcPr>
            <w:tcW w:w="3397" w:type="dxa"/>
          </w:tcPr>
          <w:p w14:paraId="1EDECC97" w14:textId="26E0D9E7" w:rsidR="00F745D0" w:rsidRPr="001F0712" w:rsidRDefault="00F745D0" w:rsidP="00F745D0">
            <w:pPr>
              <w:autoSpaceDE w:val="0"/>
              <w:autoSpaceDN w:val="0"/>
              <w:adjustRightInd w:val="0"/>
              <w:rPr>
                <w:rFonts w:ascii="Arial" w:hAnsi="Arial" w:cs="Arial"/>
                <w:sz w:val="20"/>
                <w:szCs w:val="20"/>
              </w:rPr>
            </w:pPr>
            <w:r w:rsidRPr="001F0712">
              <w:rPr>
                <w:rFonts w:ascii="Arial" w:hAnsi="Arial" w:cs="Arial"/>
                <w:sz w:val="20"/>
                <w:szCs w:val="20"/>
              </w:rPr>
              <w:t>Area Managers</w:t>
            </w:r>
            <w:r w:rsidRPr="001F0712">
              <w:rPr>
                <w:rFonts w:ascii="Arial" w:hAnsi="Arial" w:cs="Arial"/>
                <w:i/>
                <w:iCs/>
                <w:sz w:val="20"/>
                <w:szCs w:val="20"/>
              </w:rPr>
              <w:t xml:space="preserve"> competent</w:t>
            </w:r>
          </w:p>
        </w:tc>
        <w:tc>
          <w:tcPr>
            <w:tcW w:w="1348" w:type="dxa"/>
            <w:tcBorders>
              <w:bottom w:val="single" w:sz="4" w:space="0" w:color="BFBFBF" w:themeColor="background1" w:themeShade="BF"/>
            </w:tcBorders>
            <w:vAlign w:val="bottom"/>
          </w:tcPr>
          <w:p w14:paraId="645B7606" w14:textId="1B144D95" w:rsidR="00F745D0" w:rsidRPr="001F0712" w:rsidRDefault="00F745D0" w:rsidP="00F745D0">
            <w:pPr>
              <w:autoSpaceDE w:val="0"/>
              <w:autoSpaceDN w:val="0"/>
              <w:adjustRightInd w:val="0"/>
              <w:ind w:right="41"/>
              <w:jc w:val="right"/>
              <w:rPr>
                <w:rFonts w:ascii="Arial" w:hAnsi="Arial" w:cs="Arial"/>
                <w:color w:val="000000"/>
                <w:sz w:val="20"/>
                <w:szCs w:val="20"/>
              </w:rPr>
            </w:pPr>
            <w:r w:rsidRPr="001F0712">
              <w:rPr>
                <w:rFonts w:ascii="Arial" w:hAnsi="Arial" w:cs="Arial"/>
                <w:color w:val="000000"/>
                <w:sz w:val="20"/>
                <w:szCs w:val="20"/>
              </w:rPr>
              <w:t xml:space="preserve">£72,054 </w:t>
            </w:r>
          </w:p>
        </w:tc>
        <w:tc>
          <w:tcPr>
            <w:tcW w:w="1134" w:type="dxa"/>
            <w:tcBorders>
              <w:bottom w:val="single" w:sz="4" w:space="0" w:color="BFBFBF" w:themeColor="background1" w:themeShade="BF"/>
            </w:tcBorders>
          </w:tcPr>
          <w:p w14:paraId="23CBB4B9" w14:textId="74F11EB9" w:rsidR="00F745D0" w:rsidRPr="001F0712" w:rsidRDefault="00F745D0" w:rsidP="00F745D0">
            <w:pPr>
              <w:jc w:val="right"/>
              <w:rPr>
                <w:rFonts w:ascii="Arial" w:hAnsi="Arial" w:cs="Arial"/>
                <w:sz w:val="20"/>
                <w:szCs w:val="20"/>
              </w:rPr>
            </w:pPr>
            <w:r w:rsidRPr="001F0712">
              <w:rPr>
                <w:rFonts w:ascii="Arial" w:hAnsi="Arial" w:cs="Arial"/>
                <w:sz w:val="20"/>
                <w:szCs w:val="20"/>
              </w:rPr>
              <w:t xml:space="preserve">£21,256 </w:t>
            </w:r>
          </w:p>
        </w:tc>
        <w:tc>
          <w:tcPr>
            <w:tcW w:w="1144" w:type="dxa"/>
            <w:tcBorders>
              <w:bottom w:val="single" w:sz="4" w:space="0" w:color="BFBFBF" w:themeColor="background1" w:themeShade="BF"/>
            </w:tcBorders>
          </w:tcPr>
          <w:p w14:paraId="58E0F04D" w14:textId="613497FD" w:rsidR="00F745D0" w:rsidRPr="001F0712" w:rsidRDefault="00F745D0" w:rsidP="00F745D0">
            <w:pPr>
              <w:autoSpaceDE w:val="0"/>
              <w:autoSpaceDN w:val="0"/>
              <w:adjustRightInd w:val="0"/>
              <w:jc w:val="right"/>
              <w:rPr>
                <w:rFonts w:ascii="Arial" w:hAnsi="Arial" w:cs="Arial"/>
                <w:sz w:val="20"/>
                <w:szCs w:val="20"/>
              </w:rPr>
            </w:pPr>
            <w:r w:rsidRPr="001F0712">
              <w:rPr>
                <w:rFonts w:ascii="Arial" w:hAnsi="Arial" w:cs="Arial"/>
                <w:sz w:val="20"/>
                <w:szCs w:val="20"/>
              </w:rPr>
              <w:t>£3,300</w:t>
            </w:r>
          </w:p>
        </w:tc>
        <w:tc>
          <w:tcPr>
            <w:tcW w:w="1436" w:type="dxa"/>
            <w:tcBorders>
              <w:bottom w:val="single" w:sz="4" w:space="0" w:color="BFBFBF" w:themeColor="background1" w:themeShade="BF"/>
            </w:tcBorders>
          </w:tcPr>
          <w:p w14:paraId="486FA4AC" w14:textId="39B7BD9F" w:rsidR="00F745D0" w:rsidRPr="001F0712" w:rsidRDefault="00F745D0" w:rsidP="00F745D0">
            <w:pPr>
              <w:autoSpaceDE w:val="0"/>
              <w:autoSpaceDN w:val="0"/>
              <w:adjustRightInd w:val="0"/>
              <w:jc w:val="right"/>
              <w:rPr>
                <w:rFonts w:ascii="Arial" w:hAnsi="Arial" w:cs="Arial"/>
                <w:sz w:val="20"/>
                <w:szCs w:val="20"/>
              </w:rPr>
            </w:pPr>
            <w:r w:rsidRPr="001F0712">
              <w:rPr>
                <w:rFonts w:ascii="Arial" w:hAnsi="Arial" w:cs="Arial"/>
                <w:sz w:val="20"/>
                <w:szCs w:val="20"/>
              </w:rPr>
              <w:t>£1,211</w:t>
            </w:r>
          </w:p>
        </w:tc>
        <w:tc>
          <w:tcPr>
            <w:tcW w:w="1378" w:type="dxa"/>
            <w:tcBorders>
              <w:bottom w:val="single" w:sz="4" w:space="0" w:color="BFBFBF" w:themeColor="background1" w:themeShade="BF"/>
            </w:tcBorders>
            <w:vAlign w:val="bottom"/>
          </w:tcPr>
          <w:p w14:paraId="7E0D2722" w14:textId="58F24823" w:rsidR="00F745D0" w:rsidRPr="001F0712" w:rsidRDefault="00F745D0" w:rsidP="00F745D0">
            <w:pPr>
              <w:autoSpaceDE w:val="0"/>
              <w:autoSpaceDN w:val="0"/>
              <w:adjustRightInd w:val="0"/>
              <w:ind w:left="85"/>
              <w:jc w:val="right"/>
              <w:rPr>
                <w:rFonts w:ascii="Arial" w:hAnsi="Arial" w:cs="Arial"/>
                <w:sz w:val="20"/>
                <w:szCs w:val="20"/>
              </w:rPr>
            </w:pPr>
            <w:r w:rsidRPr="001F0712">
              <w:rPr>
                <w:rFonts w:ascii="Arial" w:hAnsi="Arial" w:cs="Arial"/>
                <w:sz w:val="20"/>
                <w:szCs w:val="20"/>
              </w:rPr>
              <w:t>£13,923</w:t>
            </w:r>
          </w:p>
        </w:tc>
        <w:tc>
          <w:tcPr>
            <w:tcW w:w="1417" w:type="dxa"/>
            <w:tcBorders>
              <w:bottom w:val="single" w:sz="4" w:space="0" w:color="BFBFBF" w:themeColor="background1" w:themeShade="BF"/>
            </w:tcBorders>
            <w:vAlign w:val="bottom"/>
          </w:tcPr>
          <w:p w14:paraId="59A33C96" w14:textId="61C65C93" w:rsidR="00F745D0" w:rsidRPr="001F0712" w:rsidRDefault="00F745D0" w:rsidP="00F745D0">
            <w:pPr>
              <w:autoSpaceDE w:val="0"/>
              <w:autoSpaceDN w:val="0"/>
              <w:adjustRightInd w:val="0"/>
              <w:ind w:left="85"/>
              <w:jc w:val="right"/>
              <w:rPr>
                <w:rFonts w:ascii="Arial" w:hAnsi="Arial" w:cs="Arial"/>
                <w:sz w:val="20"/>
                <w:szCs w:val="20"/>
              </w:rPr>
            </w:pPr>
            <w:r w:rsidRPr="001F0712">
              <w:rPr>
                <w:rFonts w:ascii="Arial" w:hAnsi="Arial" w:cs="Arial"/>
                <w:sz w:val="20"/>
                <w:szCs w:val="20"/>
              </w:rPr>
              <w:t>£36,781</w:t>
            </w:r>
          </w:p>
        </w:tc>
        <w:tc>
          <w:tcPr>
            <w:tcW w:w="1215" w:type="dxa"/>
            <w:vAlign w:val="bottom"/>
          </w:tcPr>
          <w:p w14:paraId="66581C6F" w14:textId="11DA68E5" w:rsidR="00F745D0" w:rsidRPr="001F0712" w:rsidRDefault="00F745D0" w:rsidP="00F745D0">
            <w:pPr>
              <w:autoSpaceDE w:val="0"/>
              <w:autoSpaceDN w:val="0"/>
              <w:adjustRightInd w:val="0"/>
              <w:ind w:left="85"/>
              <w:jc w:val="right"/>
              <w:rPr>
                <w:rFonts w:ascii="Arial" w:hAnsi="Arial" w:cs="Arial"/>
                <w:sz w:val="20"/>
                <w:szCs w:val="20"/>
              </w:rPr>
            </w:pPr>
            <w:r w:rsidRPr="001F0712">
              <w:rPr>
                <w:rFonts w:ascii="Arial" w:hAnsi="Arial" w:cs="Arial"/>
                <w:sz w:val="20"/>
                <w:szCs w:val="20"/>
              </w:rPr>
              <w:t>£148,525</w:t>
            </w:r>
          </w:p>
        </w:tc>
      </w:tr>
      <w:tr w:rsidR="00F10107" w:rsidRPr="001F0712" w14:paraId="6C716C2E" w14:textId="77777777" w:rsidTr="00F10107">
        <w:trPr>
          <w:trHeight w:val="70"/>
        </w:trPr>
        <w:tc>
          <w:tcPr>
            <w:tcW w:w="3397" w:type="dxa"/>
            <w:tcBorders>
              <w:right w:val="nil"/>
            </w:tcBorders>
          </w:tcPr>
          <w:p w14:paraId="09066D6C" w14:textId="77777777" w:rsidR="00F10107" w:rsidRPr="001F0712" w:rsidRDefault="00F10107" w:rsidP="00F745D0">
            <w:pPr>
              <w:autoSpaceDE w:val="0"/>
              <w:autoSpaceDN w:val="0"/>
              <w:adjustRightInd w:val="0"/>
              <w:rPr>
                <w:rFonts w:ascii="Arial" w:hAnsi="Arial" w:cs="Arial"/>
                <w:sz w:val="20"/>
                <w:szCs w:val="20"/>
              </w:rPr>
            </w:pPr>
          </w:p>
        </w:tc>
        <w:tc>
          <w:tcPr>
            <w:tcW w:w="1348" w:type="dxa"/>
            <w:tcBorders>
              <w:left w:val="nil"/>
              <w:right w:val="nil"/>
            </w:tcBorders>
            <w:vAlign w:val="bottom"/>
          </w:tcPr>
          <w:p w14:paraId="56A080CE" w14:textId="77777777" w:rsidR="00F10107" w:rsidRPr="001F0712" w:rsidRDefault="00F10107" w:rsidP="00F745D0">
            <w:pPr>
              <w:autoSpaceDE w:val="0"/>
              <w:autoSpaceDN w:val="0"/>
              <w:adjustRightInd w:val="0"/>
              <w:ind w:right="41"/>
              <w:jc w:val="right"/>
              <w:rPr>
                <w:rFonts w:ascii="Arial" w:hAnsi="Arial" w:cs="Arial"/>
                <w:color w:val="000000"/>
                <w:sz w:val="20"/>
                <w:szCs w:val="20"/>
              </w:rPr>
            </w:pPr>
          </w:p>
        </w:tc>
        <w:tc>
          <w:tcPr>
            <w:tcW w:w="1134" w:type="dxa"/>
            <w:tcBorders>
              <w:left w:val="nil"/>
              <w:right w:val="nil"/>
            </w:tcBorders>
          </w:tcPr>
          <w:p w14:paraId="667A3DFE" w14:textId="77777777" w:rsidR="00F10107" w:rsidRPr="001F0712" w:rsidRDefault="00F10107" w:rsidP="00F745D0">
            <w:pPr>
              <w:jc w:val="right"/>
              <w:rPr>
                <w:rFonts w:ascii="Arial" w:hAnsi="Arial" w:cs="Arial"/>
                <w:sz w:val="20"/>
                <w:szCs w:val="20"/>
              </w:rPr>
            </w:pPr>
          </w:p>
        </w:tc>
        <w:tc>
          <w:tcPr>
            <w:tcW w:w="1144" w:type="dxa"/>
            <w:tcBorders>
              <w:left w:val="nil"/>
              <w:right w:val="nil"/>
            </w:tcBorders>
          </w:tcPr>
          <w:p w14:paraId="7AA92D56" w14:textId="77777777" w:rsidR="00F10107" w:rsidRPr="001F0712" w:rsidRDefault="00F10107" w:rsidP="00F745D0">
            <w:pPr>
              <w:autoSpaceDE w:val="0"/>
              <w:autoSpaceDN w:val="0"/>
              <w:adjustRightInd w:val="0"/>
              <w:jc w:val="right"/>
              <w:rPr>
                <w:rFonts w:ascii="Arial" w:hAnsi="Arial" w:cs="Arial"/>
                <w:sz w:val="20"/>
                <w:szCs w:val="20"/>
              </w:rPr>
            </w:pPr>
          </w:p>
        </w:tc>
        <w:tc>
          <w:tcPr>
            <w:tcW w:w="1436" w:type="dxa"/>
            <w:tcBorders>
              <w:left w:val="nil"/>
              <w:right w:val="nil"/>
            </w:tcBorders>
          </w:tcPr>
          <w:p w14:paraId="473D23F1" w14:textId="77777777" w:rsidR="00F10107" w:rsidRPr="001F0712" w:rsidRDefault="00F10107" w:rsidP="00F745D0">
            <w:pPr>
              <w:autoSpaceDE w:val="0"/>
              <w:autoSpaceDN w:val="0"/>
              <w:adjustRightInd w:val="0"/>
              <w:jc w:val="right"/>
              <w:rPr>
                <w:rFonts w:ascii="Arial" w:hAnsi="Arial" w:cs="Arial"/>
                <w:sz w:val="20"/>
                <w:szCs w:val="20"/>
              </w:rPr>
            </w:pPr>
          </w:p>
        </w:tc>
        <w:tc>
          <w:tcPr>
            <w:tcW w:w="1378" w:type="dxa"/>
            <w:tcBorders>
              <w:left w:val="nil"/>
              <w:right w:val="nil"/>
            </w:tcBorders>
            <w:vAlign w:val="bottom"/>
          </w:tcPr>
          <w:p w14:paraId="0F98BD61" w14:textId="77777777" w:rsidR="00F10107" w:rsidRPr="001F0712" w:rsidRDefault="00F10107" w:rsidP="00F745D0">
            <w:pPr>
              <w:autoSpaceDE w:val="0"/>
              <w:autoSpaceDN w:val="0"/>
              <w:adjustRightInd w:val="0"/>
              <w:ind w:left="85"/>
              <w:jc w:val="right"/>
              <w:rPr>
                <w:rFonts w:ascii="Arial" w:hAnsi="Arial" w:cs="Arial"/>
                <w:sz w:val="20"/>
                <w:szCs w:val="20"/>
              </w:rPr>
            </w:pPr>
          </w:p>
        </w:tc>
        <w:tc>
          <w:tcPr>
            <w:tcW w:w="1417" w:type="dxa"/>
            <w:tcBorders>
              <w:left w:val="nil"/>
              <w:right w:val="nil"/>
            </w:tcBorders>
            <w:vAlign w:val="bottom"/>
          </w:tcPr>
          <w:p w14:paraId="71A5EA22" w14:textId="77777777" w:rsidR="00F10107" w:rsidRPr="001F0712" w:rsidRDefault="00F10107" w:rsidP="00F745D0">
            <w:pPr>
              <w:autoSpaceDE w:val="0"/>
              <w:autoSpaceDN w:val="0"/>
              <w:adjustRightInd w:val="0"/>
              <w:ind w:left="85"/>
              <w:jc w:val="right"/>
              <w:rPr>
                <w:rFonts w:ascii="Arial" w:hAnsi="Arial" w:cs="Arial"/>
                <w:sz w:val="20"/>
                <w:szCs w:val="20"/>
              </w:rPr>
            </w:pPr>
          </w:p>
        </w:tc>
        <w:tc>
          <w:tcPr>
            <w:tcW w:w="1215" w:type="dxa"/>
            <w:tcBorders>
              <w:left w:val="nil"/>
            </w:tcBorders>
            <w:vAlign w:val="bottom"/>
          </w:tcPr>
          <w:p w14:paraId="05140787" w14:textId="77777777" w:rsidR="00F10107" w:rsidRPr="001F0712" w:rsidRDefault="00F10107" w:rsidP="00F745D0">
            <w:pPr>
              <w:autoSpaceDE w:val="0"/>
              <w:autoSpaceDN w:val="0"/>
              <w:adjustRightInd w:val="0"/>
              <w:ind w:left="85"/>
              <w:jc w:val="right"/>
              <w:rPr>
                <w:rFonts w:ascii="Arial" w:hAnsi="Arial" w:cs="Arial"/>
                <w:sz w:val="20"/>
                <w:szCs w:val="20"/>
              </w:rPr>
            </w:pPr>
          </w:p>
        </w:tc>
      </w:tr>
      <w:tr w:rsidR="00F745D0" w:rsidRPr="001F0712" w14:paraId="4C2D5190" w14:textId="77777777" w:rsidTr="003325C1">
        <w:tc>
          <w:tcPr>
            <w:tcW w:w="3397" w:type="dxa"/>
          </w:tcPr>
          <w:p w14:paraId="133FA29F" w14:textId="49D8EF1F" w:rsidR="00F745D0" w:rsidRPr="00526755" w:rsidRDefault="00F745D0" w:rsidP="00F745D0">
            <w:pPr>
              <w:autoSpaceDE w:val="0"/>
              <w:autoSpaceDN w:val="0"/>
              <w:adjustRightInd w:val="0"/>
              <w:rPr>
                <w:rFonts w:ascii="Arial" w:hAnsi="Arial" w:cs="Arial"/>
                <w:b/>
                <w:bCs/>
                <w:color w:val="215E99" w:themeColor="text2" w:themeTint="BF"/>
                <w:sz w:val="20"/>
                <w:szCs w:val="20"/>
              </w:rPr>
            </w:pPr>
            <w:r w:rsidRPr="00526755">
              <w:rPr>
                <w:rFonts w:ascii="Arial" w:hAnsi="Arial" w:cs="Arial"/>
                <w:b/>
                <w:bCs/>
                <w:color w:val="215E99" w:themeColor="text2" w:themeTint="BF"/>
                <w:sz w:val="20"/>
                <w:szCs w:val="20"/>
              </w:rPr>
              <w:t xml:space="preserve">Green Book chief officers </w:t>
            </w:r>
          </w:p>
        </w:tc>
        <w:tc>
          <w:tcPr>
            <w:tcW w:w="1348" w:type="dxa"/>
          </w:tcPr>
          <w:p w14:paraId="0B4E5E78" w14:textId="5783E13E" w:rsidR="00F745D0" w:rsidRPr="001F0712" w:rsidRDefault="00F745D0" w:rsidP="00735BDA">
            <w:pPr>
              <w:autoSpaceDE w:val="0"/>
              <w:autoSpaceDN w:val="0"/>
              <w:adjustRightInd w:val="0"/>
              <w:jc w:val="right"/>
              <w:rPr>
                <w:rFonts w:ascii="Arial" w:hAnsi="Arial" w:cs="Arial"/>
                <w:sz w:val="20"/>
                <w:szCs w:val="20"/>
              </w:rPr>
            </w:pPr>
            <w:r w:rsidRPr="001F0712">
              <w:rPr>
                <w:rFonts w:ascii="Arial" w:hAnsi="Arial" w:cs="Arial"/>
                <w:sz w:val="20"/>
                <w:szCs w:val="20"/>
              </w:rPr>
              <w:t xml:space="preserve">Salary (from </w:t>
            </w:r>
            <w:r w:rsidRPr="001F0712">
              <w:rPr>
                <w:rFonts w:ascii="Arial" w:hAnsi="Arial" w:cs="Arial"/>
                <w:sz w:val="20"/>
                <w:szCs w:val="20"/>
                <w:u w:val="single"/>
              </w:rPr>
              <w:t>1 April 2024</w:t>
            </w:r>
            <w:r w:rsidRPr="001F0712">
              <w:rPr>
                <w:rFonts w:ascii="Arial" w:hAnsi="Arial" w:cs="Arial"/>
                <w:b/>
                <w:bCs/>
                <w:color w:val="0070C0"/>
                <w:sz w:val="20"/>
                <w:szCs w:val="20"/>
              </w:rPr>
              <w:t>*</w:t>
            </w:r>
            <w:r w:rsidRPr="001F0712">
              <w:rPr>
                <w:rFonts w:ascii="Arial" w:hAnsi="Arial" w:cs="Arial"/>
                <w:sz w:val="20"/>
                <w:szCs w:val="20"/>
              </w:rPr>
              <w:t>)</w:t>
            </w:r>
          </w:p>
        </w:tc>
        <w:tc>
          <w:tcPr>
            <w:tcW w:w="1134" w:type="dxa"/>
          </w:tcPr>
          <w:p w14:paraId="617EA0D0" w14:textId="77777777" w:rsidR="00F745D0" w:rsidRPr="001F0712" w:rsidRDefault="00F745D0" w:rsidP="00735BDA">
            <w:pPr>
              <w:autoSpaceDE w:val="0"/>
              <w:autoSpaceDN w:val="0"/>
              <w:adjustRightInd w:val="0"/>
              <w:jc w:val="right"/>
              <w:rPr>
                <w:rFonts w:ascii="Arial" w:hAnsi="Arial" w:cs="Arial"/>
                <w:sz w:val="20"/>
                <w:szCs w:val="20"/>
              </w:rPr>
            </w:pPr>
            <w:r w:rsidRPr="001F0712">
              <w:rPr>
                <w:rFonts w:ascii="Arial" w:hAnsi="Arial" w:cs="Arial"/>
                <w:sz w:val="20"/>
                <w:szCs w:val="20"/>
              </w:rPr>
              <w:t>Rota allowance</w:t>
            </w:r>
          </w:p>
        </w:tc>
        <w:tc>
          <w:tcPr>
            <w:tcW w:w="1144" w:type="dxa"/>
          </w:tcPr>
          <w:p w14:paraId="51EC324A" w14:textId="77777777" w:rsidR="00F745D0" w:rsidRPr="001F0712" w:rsidRDefault="00F745D0" w:rsidP="00735BDA">
            <w:pPr>
              <w:autoSpaceDE w:val="0"/>
              <w:autoSpaceDN w:val="0"/>
              <w:adjustRightInd w:val="0"/>
              <w:jc w:val="right"/>
              <w:rPr>
                <w:rFonts w:ascii="Arial" w:hAnsi="Arial" w:cs="Arial"/>
                <w:sz w:val="20"/>
                <w:szCs w:val="20"/>
              </w:rPr>
            </w:pPr>
            <w:r w:rsidRPr="001F0712">
              <w:rPr>
                <w:rFonts w:ascii="Arial" w:hAnsi="Arial" w:cs="Arial"/>
                <w:sz w:val="20"/>
                <w:szCs w:val="20"/>
              </w:rPr>
              <w:t>Area Manager allowance</w:t>
            </w:r>
          </w:p>
        </w:tc>
        <w:tc>
          <w:tcPr>
            <w:tcW w:w="1436" w:type="dxa"/>
          </w:tcPr>
          <w:p w14:paraId="6D521BD8" w14:textId="77777777" w:rsidR="00F745D0" w:rsidRPr="001F0712" w:rsidRDefault="00F745D0" w:rsidP="00735BDA">
            <w:pPr>
              <w:autoSpaceDE w:val="0"/>
              <w:autoSpaceDN w:val="0"/>
              <w:adjustRightInd w:val="0"/>
              <w:jc w:val="right"/>
              <w:rPr>
                <w:rFonts w:ascii="Arial" w:hAnsi="Arial" w:cs="Arial"/>
                <w:sz w:val="20"/>
                <w:szCs w:val="20"/>
              </w:rPr>
            </w:pPr>
            <w:r w:rsidRPr="001F0712">
              <w:rPr>
                <w:rFonts w:ascii="Arial" w:hAnsi="Arial" w:cs="Arial"/>
                <w:sz w:val="20"/>
                <w:szCs w:val="20"/>
              </w:rPr>
              <w:t>Continuous professional development</w:t>
            </w:r>
          </w:p>
        </w:tc>
        <w:tc>
          <w:tcPr>
            <w:tcW w:w="1378" w:type="dxa"/>
          </w:tcPr>
          <w:p w14:paraId="7D0CD415" w14:textId="5332319A" w:rsidR="00F745D0" w:rsidRPr="001F0712" w:rsidRDefault="00F745D0" w:rsidP="00735BDA">
            <w:pPr>
              <w:autoSpaceDE w:val="0"/>
              <w:autoSpaceDN w:val="0"/>
              <w:adjustRightInd w:val="0"/>
              <w:jc w:val="right"/>
              <w:rPr>
                <w:rFonts w:ascii="Arial" w:hAnsi="Arial" w:cs="Arial"/>
                <w:sz w:val="20"/>
                <w:szCs w:val="20"/>
              </w:rPr>
            </w:pPr>
            <w:r w:rsidRPr="001F0712">
              <w:rPr>
                <w:rFonts w:ascii="Arial" w:hAnsi="Arial" w:cs="Arial"/>
                <w:sz w:val="20"/>
                <w:szCs w:val="20"/>
              </w:rPr>
              <w:t xml:space="preserve">Employer’s </w:t>
            </w:r>
            <w:r w:rsidR="0054653C" w:rsidRPr="001F0712">
              <w:rPr>
                <w:rFonts w:ascii="Arial" w:hAnsi="Arial" w:cs="Arial"/>
                <w:sz w:val="20"/>
                <w:szCs w:val="20"/>
              </w:rPr>
              <w:t>n</w:t>
            </w:r>
            <w:r w:rsidRPr="001F0712">
              <w:rPr>
                <w:rFonts w:ascii="Arial" w:hAnsi="Arial" w:cs="Arial"/>
                <w:sz w:val="20"/>
                <w:szCs w:val="20"/>
              </w:rPr>
              <w:t xml:space="preserve">ational </w:t>
            </w:r>
            <w:r w:rsidR="0054653C" w:rsidRPr="001F0712">
              <w:rPr>
                <w:rFonts w:ascii="Arial" w:hAnsi="Arial" w:cs="Arial"/>
                <w:sz w:val="20"/>
                <w:szCs w:val="20"/>
              </w:rPr>
              <w:t>i</w:t>
            </w:r>
            <w:r w:rsidRPr="001F0712">
              <w:rPr>
                <w:rFonts w:ascii="Arial" w:hAnsi="Arial" w:cs="Arial"/>
                <w:sz w:val="20"/>
                <w:szCs w:val="20"/>
              </w:rPr>
              <w:t>nsurance</w:t>
            </w:r>
          </w:p>
        </w:tc>
        <w:tc>
          <w:tcPr>
            <w:tcW w:w="1417" w:type="dxa"/>
          </w:tcPr>
          <w:p w14:paraId="75333DCD" w14:textId="0B785CB9" w:rsidR="00F745D0" w:rsidRPr="001F0712" w:rsidRDefault="00F745D0" w:rsidP="00735BDA">
            <w:pPr>
              <w:autoSpaceDE w:val="0"/>
              <w:autoSpaceDN w:val="0"/>
              <w:adjustRightInd w:val="0"/>
              <w:jc w:val="right"/>
              <w:rPr>
                <w:rFonts w:ascii="Arial" w:hAnsi="Arial" w:cs="Arial"/>
                <w:sz w:val="20"/>
                <w:szCs w:val="20"/>
              </w:rPr>
            </w:pPr>
            <w:r w:rsidRPr="001F0712">
              <w:rPr>
                <w:rFonts w:ascii="Arial" w:hAnsi="Arial" w:cs="Arial"/>
                <w:sz w:val="20"/>
                <w:szCs w:val="20"/>
              </w:rPr>
              <w:t>Employer’s pension contributions</w:t>
            </w:r>
          </w:p>
        </w:tc>
        <w:tc>
          <w:tcPr>
            <w:tcW w:w="1215" w:type="dxa"/>
          </w:tcPr>
          <w:p w14:paraId="02031AF1" w14:textId="7C6621FF" w:rsidR="00F745D0" w:rsidRPr="001F0712" w:rsidRDefault="00F745D0" w:rsidP="00735BDA">
            <w:pPr>
              <w:autoSpaceDE w:val="0"/>
              <w:autoSpaceDN w:val="0"/>
              <w:adjustRightInd w:val="0"/>
              <w:jc w:val="right"/>
              <w:rPr>
                <w:rFonts w:ascii="Arial" w:hAnsi="Arial" w:cs="Arial"/>
                <w:sz w:val="20"/>
                <w:szCs w:val="20"/>
              </w:rPr>
            </w:pPr>
            <w:r w:rsidRPr="001F0712">
              <w:rPr>
                <w:rFonts w:ascii="Arial" w:hAnsi="Arial" w:cs="Arial"/>
                <w:sz w:val="20"/>
                <w:szCs w:val="20"/>
              </w:rPr>
              <w:t>Total</w:t>
            </w:r>
          </w:p>
        </w:tc>
      </w:tr>
      <w:tr w:rsidR="00F745D0" w:rsidRPr="001F0712" w14:paraId="059F8B3C" w14:textId="77777777" w:rsidTr="003325C1">
        <w:tc>
          <w:tcPr>
            <w:tcW w:w="3397" w:type="dxa"/>
          </w:tcPr>
          <w:p w14:paraId="33F0F6F3" w14:textId="188037DE" w:rsidR="00F745D0" w:rsidRPr="001F0712" w:rsidRDefault="00F745D0" w:rsidP="006A5D4D">
            <w:pPr>
              <w:autoSpaceDE w:val="0"/>
              <w:autoSpaceDN w:val="0"/>
              <w:adjustRightInd w:val="0"/>
              <w:ind w:right="-108"/>
              <w:rPr>
                <w:rFonts w:ascii="Arial" w:hAnsi="Arial" w:cs="Arial"/>
                <w:sz w:val="20"/>
                <w:szCs w:val="20"/>
              </w:rPr>
            </w:pPr>
            <w:r w:rsidRPr="001F0712">
              <w:rPr>
                <w:rFonts w:ascii="Arial" w:hAnsi="Arial" w:cs="Arial"/>
                <w:sz w:val="20"/>
                <w:szCs w:val="20"/>
              </w:rPr>
              <w:t>Director of Finance, Estates and Facilities</w:t>
            </w:r>
            <w:r w:rsidRPr="001F0712">
              <w:rPr>
                <w:rFonts w:ascii="Arial" w:hAnsi="Arial" w:cs="Arial"/>
                <w:i/>
                <w:iCs/>
                <w:sz w:val="20"/>
                <w:szCs w:val="20"/>
              </w:rPr>
              <w:t xml:space="preserve"> (in development)</w:t>
            </w:r>
          </w:p>
        </w:tc>
        <w:tc>
          <w:tcPr>
            <w:tcW w:w="1348" w:type="dxa"/>
            <w:vAlign w:val="center"/>
          </w:tcPr>
          <w:p w14:paraId="3E3EA8EF" w14:textId="79997E8B" w:rsidR="00F745D0" w:rsidRPr="001F0712" w:rsidRDefault="00F745D0" w:rsidP="00F745D0">
            <w:pPr>
              <w:autoSpaceDE w:val="0"/>
              <w:autoSpaceDN w:val="0"/>
              <w:adjustRightInd w:val="0"/>
              <w:ind w:left="-41"/>
              <w:jc w:val="right"/>
              <w:rPr>
                <w:rFonts w:ascii="Arial" w:hAnsi="Arial" w:cs="Arial"/>
                <w:sz w:val="20"/>
                <w:szCs w:val="20"/>
              </w:rPr>
            </w:pPr>
            <w:r w:rsidRPr="001F0712">
              <w:rPr>
                <w:rFonts w:ascii="Arial" w:hAnsi="Arial" w:cs="Arial"/>
                <w:color w:val="000000"/>
                <w:sz w:val="20"/>
                <w:szCs w:val="20"/>
              </w:rPr>
              <w:t xml:space="preserve">£80,027 </w:t>
            </w:r>
          </w:p>
        </w:tc>
        <w:tc>
          <w:tcPr>
            <w:tcW w:w="1134" w:type="dxa"/>
            <w:vAlign w:val="center"/>
          </w:tcPr>
          <w:p w14:paraId="301BA07B" w14:textId="4DAFFE5A" w:rsidR="00F745D0" w:rsidRPr="001F0712" w:rsidRDefault="00F745D0" w:rsidP="00F745D0">
            <w:pPr>
              <w:autoSpaceDE w:val="0"/>
              <w:autoSpaceDN w:val="0"/>
              <w:adjustRightInd w:val="0"/>
              <w:ind w:left="-383"/>
              <w:jc w:val="right"/>
              <w:rPr>
                <w:rFonts w:ascii="Arial" w:hAnsi="Arial" w:cs="Arial"/>
                <w:sz w:val="20"/>
                <w:szCs w:val="20"/>
              </w:rPr>
            </w:pPr>
            <w:r w:rsidRPr="001F0712">
              <w:rPr>
                <w:rFonts w:ascii="Arial" w:hAnsi="Arial" w:cs="Arial"/>
                <w:sz w:val="20"/>
                <w:szCs w:val="20"/>
              </w:rPr>
              <w:t>NIL</w:t>
            </w:r>
          </w:p>
        </w:tc>
        <w:tc>
          <w:tcPr>
            <w:tcW w:w="1144" w:type="dxa"/>
            <w:vAlign w:val="center"/>
          </w:tcPr>
          <w:p w14:paraId="2EE858A4" w14:textId="69F7CD6D" w:rsidR="00F745D0" w:rsidRPr="001F0712" w:rsidRDefault="00F745D0" w:rsidP="00F745D0">
            <w:pPr>
              <w:autoSpaceDE w:val="0"/>
              <w:autoSpaceDN w:val="0"/>
              <w:adjustRightInd w:val="0"/>
              <w:ind w:left="-383"/>
              <w:jc w:val="right"/>
              <w:rPr>
                <w:rFonts w:ascii="Arial" w:hAnsi="Arial" w:cs="Arial"/>
                <w:sz w:val="20"/>
                <w:szCs w:val="20"/>
              </w:rPr>
            </w:pPr>
            <w:r w:rsidRPr="001F0712">
              <w:rPr>
                <w:rFonts w:ascii="Arial" w:hAnsi="Arial" w:cs="Arial"/>
                <w:sz w:val="20"/>
                <w:szCs w:val="20"/>
              </w:rPr>
              <w:t>NIL</w:t>
            </w:r>
          </w:p>
        </w:tc>
        <w:tc>
          <w:tcPr>
            <w:tcW w:w="1436" w:type="dxa"/>
            <w:vAlign w:val="center"/>
          </w:tcPr>
          <w:p w14:paraId="229D49C5" w14:textId="0C5191B0" w:rsidR="00F745D0" w:rsidRPr="001F0712" w:rsidRDefault="00F745D0" w:rsidP="00F745D0">
            <w:pPr>
              <w:autoSpaceDE w:val="0"/>
              <w:autoSpaceDN w:val="0"/>
              <w:adjustRightInd w:val="0"/>
              <w:ind w:left="-383"/>
              <w:jc w:val="right"/>
              <w:rPr>
                <w:rFonts w:ascii="Arial" w:hAnsi="Arial" w:cs="Arial"/>
                <w:sz w:val="20"/>
                <w:szCs w:val="20"/>
              </w:rPr>
            </w:pPr>
            <w:r w:rsidRPr="001F0712">
              <w:rPr>
                <w:rFonts w:ascii="Arial" w:hAnsi="Arial" w:cs="Arial"/>
                <w:sz w:val="20"/>
                <w:szCs w:val="20"/>
              </w:rPr>
              <w:t>NIL</w:t>
            </w:r>
          </w:p>
        </w:tc>
        <w:tc>
          <w:tcPr>
            <w:tcW w:w="1378" w:type="dxa"/>
            <w:vAlign w:val="center"/>
          </w:tcPr>
          <w:p w14:paraId="71E7FBD2" w14:textId="00C3D300" w:rsidR="00F745D0" w:rsidRPr="001F0712" w:rsidRDefault="00F745D0" w:rsidP="00F745D0">
            <w:pPr>
              <w:autoSpaceDE w:val="0"/>
              <w:autoSpaceDN w:val="0"/>
              <w:adjustRightInd w:val="0"/>
              <w:ind w:left="85"/>
              <w:jc w:val="right"/>
              <w:rPr>
                <w:rFonts w:ascii="Arial" w:hAnsi="Arial" w:cs="Arial"/>
                <w:color w:val="000000"/>
                <w:sz w:val="20"/>
                <w:szCs w:val="20"/>
              </w:rPr>
            </w:pPr>
            <w:r w:rsidRPr="001F0712">
              <w:rPr>
                <w:rFonts w:ascii="Arial" w:hAnsi="Arial" w:cs="Arial"/>
                <w:sz w:val="20"/>
                <w:szCs w:val="20"/>
              </w:rPr>
              <w:t xml:space="preserve"> £11,254 </w:t>
            </w:r>
          </w:p>
        </w:tc>
        <w:tc>
          <w:tcPr>
            <w:tcW w:w="1417" w:type="dxa"/>
            <w:vAlign w:val="center"/>
          </w:tcPr>
          <w:p w14:paraId="57337031" w14:textId="10A679D4" w:rsidR="00F745D0" w:rsidRPr="001F0712" w:rsidRDefault="00F745D0" w:rsidP="00F745D0">
            <w:pPr>
              <w:autoSpaceDE w:val="0"/>
              <w:autoSpaceDN w:val="0"/>
              <w:adjustRightInd w:val="0"/>
              <w:ind w:left="85"/>
              <w:jc w:val="right"/>
              <w:rPr>
                <w:rFonts w:ascii="Arial" w:hAnsi="Arial" w:cs="Arial"/>
                <w:color w:val="000000"/>
                <w:sz w:val="20"/>
                <w:szCs w:val="20"/>
              </w:rPr>
            </w:pPr>
            <w:r w:rsidRPr="001F0712">
              <w:rPr>
                <w:rFonts w:ascii="Arial" w:hAnsi="Arial" w:cs="Arial"/>
                <w:sz w:val="20"/>
                <w:szCs w:val="20"/>
              </w:rPr>
              <w:t xml:space="preserve"> £14,245 </w:t>
            </w:r>
          </w:p>
        </w:tc>
        <w:tc>
          <w:tcPr>
            <w:tcW w:w="1215" w:type="dxa"/>
            <w:vAlign w:val="center"/>
          </w:tcPr>
          <w:p w14:paraId="0723DB45" w14:textId="4F4DF538" w:rsidR="00F745D0" w:rsidRPr="001F0712" w:rsidRDefault="00F745D0" w:rsidP="00F745D0">
            <w:pPr>
              <w:autoSpaceDE w:val="0"/>
              <w:autoSpaceDN w:val="0"/>
              <w:adjustRightInd w:val="0"/>
              <w:ind w:left="85"/>
              <w:jc w:val="right"/>
              <w:rPr>
                <w:rFonts w:ascii="Arial" w:hAnsi="Arial" w:cs="Arial"/>
                <w:sz w:val="20"/>
                <w:szCs w:val="20"/>
              </w:rPr>
            </w:pPr>
            <w:r w:rsidRPr="001F0712">
              <w:rPr>
                <w:rFonts w:ascii="Arial" w:hAnsi="Arial" w:cs="Arial"/>
                <w:sz w:val="20"/>
                <w:szCs w:val="20"/>
              </w:rPr>
              <w:t xml:space="preserve"> £105,526 </w:t>
            </w:r>
          </w:p>
        </w:tc>
      </w:tr>
      <w:tr w:rsidR="00F745D0" w:rsidRPr="001F0712" w14:paraId="3886EBF2" w14:textId="77777777" w:rsidTr="003325C1">
        <w:tc>
          <w:tcPr>
            <w:tcW w:w="3397" w:type="dxa"/>
          </w:tcPr>
          <w:p w14:paraId="50DA715F" w14:textId="6DFE4C05" w:rsidR="00F745D0" w:rsidRPr="001F0712" w:rsidRDefault="00F745D0" w:rsidP="00F745D0">
            <w:pPr>
              <w:autoSpaceDE w:val="0"/>
              <w:autoSpaceDN w:val="0"/>
              <w:adjustRightInd w:val="0"/>
              <w:ind w:right="-108"/>
              <w:rPr>
                <w:rFonts w:ascii="Arial" w:hAnsi="Arial" w:cs="Arial"/>
                <w:sz w:val="20"/>
                <w:szCs w:val="20"/>
              </w:rPr>
            </w:pPr>
            <w:r w:rsidRPr="001F0712">
              <w:rPr>
                <w:rFonts w:ascii="Arial" w:hAnsi="Arial" w:cs="Arial"/>
                <w:sz w:val="20"/>
                <w:szCs w:val="20"/>
              </w:rPr>
              <w:t>Director of Finance, Estates and Facilities</w:t>
            </w:r>
            <w:r w:rsidRPr="001F0712">
              <w:rPr>
                <w:rFonts w:ascii="Arial" w:hAnsi="Arial" w:cs="Arial"/>
                <w:i/>
                <w:iCs/>
                <w:sz w:val="20"/>
                <w:szCs w:val="20"/>
              </w:rPr>
              <w:t xml:space="preserve"> (competent)</w:t>
            </w:r>
          </w:p>
        </w:tc>
        <w:tc>
          <w:tcPr>
            <w:tcW w:w="1348" w:type="dxa"/>
            <w:vAlign w:val="center"/>
          </w:tcPr>
          <w:p w14:paraId="673C2B11" w14:textId="423C9BB8" w:rsidR="00F745D0" w:rsidRPr="001F0712" w:rsidRDefault="00F745D0" w:rsidP="00F745D0">
            <w:pPr>
              <w:autoSpaceDE w:val="0"/>
              <w:autoSpaceDN w:val="0"/>
              <w:adjustRightInd w:val="0"/>
              <w:ind w:left="-41"/>
              <w:jc w:val="right"/>
              <w:rPr>
                <w:rFonts w:ascii="Arial" w:hAnsi="Arial" w:cs="Arial"/>
                <w:color w:val="000000"/>
                <w:sz w:val="20"/>
                <w:szCs w:val="20"/>
              </w:rPr>
            </w:pPr>
            <w:r w:rsidRPr="001F0712">
              <w:rPr>
                <w:rFonts w:ascii="Arial" w:hAnsi="Arial" w:cs="Arial"/>
                <w:color w:val="000000"/>
                <w:sz w:val="20"/>
                <w:szCs w:val="20"/>
              </w:rPr>
              <w:t>£91,122</w:t>
            </w:r>
          </w:p>
        </w:tc>
        <w:tc>
          <w:tcPr>
            <w:tcW w:w="1134" w:type="dxa"/>
            <w:vAlign w:val="center"/>
          </w:tcPr>
          <w:p w14:paraId="4AA05B47" w14:textId="193DE2BC" w:rsidR="00F745D0" w:rsidRPr="001F0712" w:rsidRDefault="00F745D0" w:rsidP="00F745D0">
            <w:pPr>
              <w:autoSpaceDE w:val="0"/>
              <w:autoSpaceDN w:val="0"/>
              <w:adjustRightInd w:val="0"/>
              <w:ind w:left="-383"/>
              <w:jc w:val="right"/>
              <w:rPr>
                <w:rFonts w:ascii="Arial" w:hAnsi="Arial" w:cs="Arial"/>
                <w:sz w:val="20"/>
                <w:szCs w:val="20"/>
              </w:rPr>
            </w:pPr>
            <w:r w:rsidRPr="001F0712">
              <w:rPr>
                <w:rFonts w:ascii="Arial" w:hAnsi="Arial" w:cs="Arial"/>
                <w:sz w:val="20"/>
                <w:szCs w:val="20"/>
              </w:rPr>
              <w:t>NIL</w:t>
            </w:r>
          </w:p>
        </w:tc>
        <w:tc>
          <w:tcPr>
            <w:tcW w:w="1144" w:type="dxa"/>
            <w:vAlign w:val="center"/>
          </w:tcPr>
          <w:p w14:paraId="04DA813F" w14:textId="76300F6D" w:rsidR="00F745D0" w:rsidRPr="001F0712" w:rsidRDefault="00F745D0" w:rsidP="00F745D0">
            <w:pPr>
              <w:autoSpaceDE w:val="0"/>
              <w:autoSpaceDN w:val="0"/>
              <w:adjustRightInd w:val="0"/>
              <w:ind w:left="-383"/>
              <w:jc w:val="right"/>
              <w:rPr>
                <w:rFonts w:ascii="Arial" w:hAnsi="Arial" w:cs="Arial"/>
                <w:sz w:val="20"/>
                <w:szCs w:val="20"/>
              </w:rPr>
            </w:pPr>
            <w:r w:rsidRPr="001F0712">
              <w:rPr>
                <w:rFonts w:ascii="Arial" w:hAnsi="Arial" w:cs="Arial"/>
                <w:sz w:val="20"/>
                <w:szCs w:val="20"/>
              </w:rPr>
              <w:t>NIL</w:t>
            </w:r>
          </w:p>
        </w:tc>
        <w:tc>
          <w:tcPr>
            <w:tcW w:w="1436" w:type="dxa"/>
            <w:vAlign w:val="center"/>
          </w:tcPr>
          <w:p w14:paraId="4D9D082E" w14:textId="2CCCB8BB" w:rsidR="00F745D0" w:rsidRPr="001F0712" w:rsidRDefault="00F745D0" w:rsidP="00F745D0">
            <w:pPr>
              <w:autoSpaceDE w:val="0"/>
              <w:autoSpaceDN w:val="0"/>
              <w:adjustRightInd w:val="0"/>
              <w:ind w:left="-383"/>
              <w:jc w:val="right"/>
              <w:rPr>
                <w:rFonts w:ascii="Arial" w:hAnsi="Arial" w:cs="Arial"/>
                <w:sz w:val="20"/>
                <w:szCs w:val="20"/>
              </w:rPr>
            </w:pPr>
            <w:r w:rsidRPr="001F0712">
              <w:rPr>
                <w:rFonts w:ascii="Arial" w:hAnsi="Arial" w:cs="Arial"/>
                <w:sz w:val="20"/>
                <w:szCs w:val="20"/>
              </w:rPr>
              <w:t>NIL</w:t>
            </w:r>
          </w:p>
        </w:tc>
        <w:tc>
          <w:tcPr>
            <w:tcW w:w="1378" w:type="dxa"/>
            <w:vAlign w:val="center"/>
          </w:tcPr>
          <w:p w14:paraId="169825B3" w14:textId="73825D2C" w:rsidR="00F745D0" w:rsidRPr="001F0712" w:rsidRDefault="00F745D0" w:rsidP="00F745D0">
            <w:pPr>
              <w:autoSpaceDE w:val="0"/>
              <w:autoSpaceDN w:val="0"/>
              <w:adjustRightInd w:val="0"/>
              <w:ind w:left="85"/>
              <w:jc w:val="right"/>
              <w:rPr>
                <w:rFonts w:ascii="Arial" w:hAnsi="Arial" w:cs="Arial"/>
                <w:color w:val="000000"/>
                <w:sz w:val="20"/>
                <w:szCs w:val="20"/>
              </w:rPr>
            </w:pPr>
            <w:r w:rsidRPr="001F0712">
              <w:rPr>
                <w:rFonts w:ascii="Arial" w:hAnsi="Arial" w:cs="Arial"/>
                <w:sz w:val="20"/>
                <w:szCs w:val="20"/>
              </w:rPr>
              <w:t xml:space="preserve"> £12,918 </w:t>
            </w:r>
          </w:p>
        </w:tc>
        <w:tc>
          <w:tcPr>
            <w:tcW w:w="1417" w:type="dxa"/>
            <w:vAlign w:val="center"/>
          </w:tcPr>
          <w:p w14:paraId="0915C9DB" w14:textId="5D9C62A0" w:rsidR="00F745D0" w:rsidRPr="001F0712" w:rsidRDefault="00F745D0" w:rsidP="00F745D0">
            <w:pPr>
              <w:autoSpaceDE w:val="0"/>
              <w:autoSpaceDN w:val="0"/>
              <w:adjustRightInd w:val="0"/>
              <w:ind w:left="85"/>
              <w:jc w:val="right"/>
              <w:rPr>
                <w:rFonts w:ascii="Arial" w:hAnsi="Arial" w:cs="Arial"/>
                <w:color w:val="000000"/>
                <w:sz w:val="20"/>
                <w:szCs w:val="20"/>
              </w:rPr>
            </w:pPr>
            <w:r w:rsidRPr="001F0712">
              <w:rPr>
                <w:rFonts w:ascii="Arial" w:hAnsi="Arial" w:cs="Arial"/>
                <w:sz w:val="20"/>
                <w:szCs w:val="20"/>
              </w:rPr>
              <w:t xml:space="preserve"> £16,220 </w:t>
            </w:r>
          </w:p>
        </w:tc>
        <w:tc>
          <w:tcPr>
            <w:tcW w:w="1215" w:type="dxa"/>
            <w:vAlign w:val="center"/>
          </w:tcPr>
          <w:p w14:paraId="1C4FB2B1" w14:textId="7CC5433A" w:rsidR="00F745D0" w:rsidRPr="001F0712" w:rsidRDefault="00F745D0" w:rsidP="00F745D0">
            <w:pPr>
              <w:autoSpaceDE w:val="0"/>
              <w:autoSpaceDN w:val="0"/>
              <w:adjustRightInd w:val="0"/>
              <w:ind w:left="85"/>
              <w:jc w:val="right"/>
              <w:rPr>
                <w:rFonts w:ascii="Arial" w:hAnsi="Arial" w:cs="Arial"/>
                <w:color w:val="000000"/>
                <w:sz w:val="20"/>
                <w:szCs w:val="20"/>
              </w:rPr>
            </w:pPr>
            <w:r w:rsidRPr="001F0712">
              <w:rPr>
                <w:rFonts w:ascii="Arial" w:hAnsi="Arial" w:cs="Arial"/>
                <w:sz w:val="20"/>
                <w:szCs w:val="20"/>
              </w:rPr>
              <w:t xml:space="preserve"> £120,260 </w:t>
            </w:r>
          </w:p>
        </w:tc>
      </w:tr>
      <w:tr w:rsidR="00F745D0" w:rsidRPr="001F0712" w14:paraId="1841935A" w14:textId="77777777" w:rsidTr="003325C1">
        <w:tc>
          <w:tcPr>
            <w:tcW w:w="3397" w:type="dxa"/>
          </w:tcPr>
          <w:p w14:paraId="5D0711F2" w14:textId="77777777" w:rsidR="00F745D0" w:rsidRPr="001F0712" w:rsidRDefault="00F745D0" w:rsidP="00F745D0">
            <w:pPr>
              <w:autoSpaceDE w:val="0"/>
              <w:autoSpaceDN w:val="0"/>
              <w:adjustRightInd w:val="0"/>
              <w:ind w:right="-108"/>
              <w:rPr>
                <w:rFonts w:ascii="Arial" w:hAnsi="Arial" w:cs="Arial"/>
                <w:i/>
                <w:iCs/>
                <w:sz w:val="20"/>
                <w:szCs w:val="20"/>
              </w:rPr>
            </w:pPr>
            <w:r w:rsidRPr="001F0712">
              <w:rPr>
                <w:rFonts w:ascii="Arial" w:hAnsi="Arial" w:cs="Arial"/>
                <w:sz w:val="20"/>
                <w:szCs w:val="20"/>
              </w:rPr>
              <w:t>Director of Corporate Services</w:t>
            </w:r>
            <w:r w:rsidRPr="001F0712">
              <w:rPr>
                <w:rFonts w:ascii="Arial" w:hAnsi="Arial" w:cs="Arial"/>
                <w:i/>
                <w:iCs/>
                <w:sz w:val="20"/>
                <w:szCs w:val="20"/>
              </w:rPr>
              <w:t xml:space="preserve"> </w:t>
            </w:r>
          </w:p>
          <w:p w14:paraId="54AD33DE" w14:textId="4507C388" w:rsidR="00F745D0" w:rsidRPr="001F0712" w:rsidRDefault="00F745D0" w:rsidP="00F745D0">
            <w:pPr>
              <w:autoSpaceDE w:val="0"/>
              <w:autoSpaceDN w:val="0"/>
              <w:adjustRightInd w:val="0"/>
              <w:ind w:right="-108"/>
              <w:rPr>
                <w:rFonts w:ascii="Arial" w:hAnsi="Arial" w:cs="Arial"/>
                <w:sz w:val="20"/>
                <w:szCs w:val="20"/>
              </w:rPr>
            </w:pPr>
            <w:r w:rsidRPr="001F0712">
              <w:rPr>
                <w:rFonts w:ascii="Arial" w:hAnsi="Arial" w:cs="Arial"/>
                <w:i/>
                <w:iCs/>
                <w:sz w:val="20"/>
                <w:szCs w:val="20"/>
              </w:rPr>
              <w:t>(in development)</w:t>
            </w:r>
          </w:p>
        </w:tc>
        <w:tc>
          <w:tcPr>
            <w:tcW w:w="1348" w:type="dxa"/>
            <w:vAlign w:val="center"/>
          </w:tcPr>
          <w:p w14:paraId="13ABB8E6" w14:textId="09E05DFB" w:rsidR="00F745D0" w:rsidRPr="001F0712" w:rsidRDefault="00F745D0" w:rsidP="00F745D0">
            <w:pPr>
              <w:autoSpaceDE w:val="0"/>
              <w:autoSpaceDN w:val="0"/>
              <w:adjustRightInd w:val="0"/>
              <w:ind w:left="-41"/>
              <w:jc w:val="right"/>
              <w:rPr>
                <w:rFonts w:ascii="Arial" w:hAnsi="Arial" w:cs="Arial"/>
                <w:sz w:val="20"/>
                <w:szCs w:val="20"/>
              </w:rPr>
            </w:pPr>
            <w:r w:rsidRPr="001F0712">
              <w:rPr>
                <w:rFonts w:ascii="Arial" w:hAnsi="Arial" w:cs="Arial"/>
                <w:color w:val="000000"/>
                <w:sz w:val="20"/>
                <w:szCs w:val="20"/>
              </w:rPr>
              <w:t xml:space="preserve">£67,553 </w:t>
            </w:r>
          </w:p>
        </w:tc>
        <w:tc>
          <w:tcPr>
            <w:tcW w:w="1134" w:type="dxa"/>
            <w:vAlign w:val="center"/>
          </w:tcPr>
          <w:p w14:paraId="7B46E6B2" w14:textId="280CA0E5" w:rsidR="00F745D0" w:rsidRPr="001F0712" w:rsidRDefault="00F745D0" w:rsidP="00F745D0">
            <w:pPr>
              <w:autoSpaceDE w:val="0"/>
              <w:autoSpaceDN w:val="0"/>
              <w:adjustRightInd w:val="0"/>
              <w:ind w:left="-383"/>
              <w:jc w:val="right"/>
              <w:rPr>
                <w:rFonts w:ascii="Arial" w:hAnsi="Arial" w:cs="Arial"/>
                <w:sz w:val="20"/>
                <w:szCs w:val="20"/>
              </w:rPr>
            </w:pPr>
            <w:r w:rsidRPr="001F0712">
              <w:rPr>
                <w:rFonts w:ascii="Arial" w:hAnsi="Arial" w:cs="Arial"/>
                <w:sz w:val="20"/>
                <w:szCs w:val="20"/>
              </w:rPr>
              <w:t>NIL</w:t>
            </w:r>
          </w:p>
        </w:tc>
        <w:tc>
          <w:tcPr>
            <w:tcW w:w="1144" w:type="dxa"/>
            <w:vAlign w:val="center"/>
          </w:tcPr>
          <w:p w14:paraId="6A0D438E" w14:textId="6290B459" w:rsidR="00F745D0" w:rsidRPr="001F0712" w:rsidRDefault="00F745D0" w:rsidP="00F745D0">
            <w:pPr>
              <w:autoSpaceDE w:val="0"/>
              <w:autoSpaceDN w:val="0"/>
              <w:adjustRightInd w:val="0"/>
              <w:ind w:left="-383"/>
              <w:jc w:val="right"/>
              <w:rPr>
                <w:rFonts w:ascii="Arial" w:hAnsi="Arial" w:cs="Arial"/>
                <w:sz w:val="20"/>
                <w:szCs w:val="20"/>
              </w:rPr>
            </w:pPr>
            <w:r w:rsidRPr="001F0712">
              <w:rPr>
                <w:rFonts w:ascii="Arial" w:hAnsi="Arial" w:cs="Arial"/>
                <w:sz w:val="20"/>
                <w:szCs w:val="20"/>
              </w:rPr>
              <w:t>NIL</w:t>
            </w:r>
          </w:p>
        </w:tc>
        <w:tc>
          <w:tcPr>
            <w:tcW w:w="1436" w:type="dxa"/>
            <w:vAlign w:val="center"/>
          </w:tcPr>
          <w:p w14:paraId="19E59965" w14:textId="304EBB65" w:rsidR="00F745D0" w:rsidRPr="001F0712" w:rsidRDefault="00F745D0" w:rsidP="00F745D0">
            <w:pPr>
              <w:autoSpaceDE w:val="0"/>
              <w:autoSpaceDN w:val="0"/>
              <w:adjustRightInd w:val="0"/>
              <w:ind w:left="-383"/>
              <w:jc w:val="right"/>
              <w:rPr>
                <w:rFonts w:ascii="Arial" w:hAnsi="Arial" w:cs="Arial"/>
                <w:sz w:val="20"/>
                <w:szCs w:val="20"/>
              </w:rPr>
            </w:pPr>
            <w:r w:rsidRPr="001F0712">
              <w:rPr>
                <w:rFonts w:ascii="Arial" w:hAnsi="Arial" w:cs="Arial"/>
                <w:sz w:val="20"/>
                <w:szCs w:val="20"/>
              </w:rPr>
              <w:t>NIL</w:t>
            </w:r>
          </w:p>
        </w:tc>
        <w:tc>
          <w:tcPr>
            <w:tcW w:w="1378" w:type="dxa"/>
            <w:vAlign w:val="center"/>
          </w:tcPr>
          <w:p w14:paraId="4DE1D5F3" w14:textId="18F761B4" w:rsidR="00F745D0" w:rsidRPr="001F0712" w:rsidRDefault="00F745D0" w:rsidP="00F745D0">
            <w:pPr>
              <w:autoSpaceDE w:val="0"/>
              <w:autoSpaceDN w:val="0"/>
              <w:adjustRightInd w:val="0"/>
              <w:ind w:left="85"/>
              <w:jc w:val="right"/>
              <w:rPr>
                <w:rFonts w:ascii="Arial" w:hAnsi="Arial" w:cs="Arial"/>
                <w:color w:val="000000"/>
                <w:sz w:val="20"/>
                <w:szCs w:val="20"/>
              </w:rPr>
            </w:pPr>
            <w:r w:rsidRPr="001F0712">
              <w:rPr>
                <w:rFonts w:ascii="Arial" w:hAnsi="Arial" w:cs="Arial"/>
                <w:sz w:val="20"/>
                <w:szCs w:val="20"/>
              </w:rPr>
              <w:t xml:space="preserve"> £9,383 </w:t>
            </w:r>
          </w:p>
        </w:tc>
        <w:tc>
          <w:tcPr>
            <w:tcW w:w="1417" w:type="dxa"/>
            <w:vAlign w:val="center"/>
          </w:tcPr>
          <w:p w14:paraId="567706C0" w14:textId="53807F32" w:rsidR="00F745D0" w:rsidRPr="001F0712" w:rsidRDefault="00F745D0" w:rsidP="00F745D0">
            <w:pPr>
              <w:autoSpaceDE w:val="0"/>
              <w:autoSpaceDN w:val="0"/>
              <w:adjustRightInd w:val="0"/>
              <w:ind w:left="85"/>
              <w:jc w:val="right"/>
              <w:rPr>
                <w:rFonts w:ascii="Arial" w:hAnsi="Arial" w:cs="Arial"/>
                <w:color w:val="000000"/>
                <w:sz w:val="20"/>
                <w:szCs w:val="20"/>
              </w:rPr>
            </w:pPr>
            <w:r w:rsidRPr="001F0712">
              <w:rPr>
                <w:rFonts w:ascii="Arial" w:hAnsi="Arial" w:cs="Arial"/>
                <w:sz w:val="20"/>
                <w:szCs w:val="20"/>
              </w:rPr>
              <w:t xml:space="preserve"> £12,024 </w:t>
            </w:r>
          </w:p>
        </w:tc>
        <w:tc>
          <w:tcPr>
            <w:tcW w:w="1215" w:type="dxa"/>
            <w:vAlign w:val="center"/>
          </w:tcPr>
          <w:p w14:paraId="183A865E" w14:textId="36B0F8C3" w:rsidR="00F745D0" w:rsidRPr="001F0712" w:rsidRDefault="00F745D0" w:rsidP="00F745D0">
            <w:pPr>
              <w:autoSpaceDE w:val="0"/>
              <w:autoSpaceDN w:val="0"/>
              <w:adjustRightInd w:val="0"/>
              <w:ind w:left="85"/>
              <w:jc w:val="right"/>
              <w:rPr>
                <w:rFonts w:ascii="Arial" w:hAnsi="Arial" w:cs="Arial"/>
                <w:sz w:val="20"/>
                <w:szCs w:val="20"/>
              </w:rPr>
            </w:pPr>
            <w:r w:rsidRPr="001F0712">
              <w:rPr>
                <w:rFonts w:ascii="Arial" w:hAnsi="Arial" w:cs="Arial"/>
                <w:sz w:val="20"/>
                <w:szCs w:val="20"/>
              </w:rPr>
              <w:t xml:space="preserve"> £88,960 </w:t>
            </w:r>
          </w:p>
        </w:tc>
      </w:tr>
      <w:tr w:rsidR="00F745D0" w:rsidRPr="001F0712" w14:paraId="18187791" w14:textId="77777777" w:rsidTr="003325C1">
        <w:tc>
          <w:tcPr>
            <w:tcW w:w="3397" w:type="dxa"/>
          </w:tcPr>
          <w:p w14:paraId="3BE0AC50" w14:textId="77777777" w:rsidR="00F745D0" w:rsidRPr="001F0712" w:rsidRDefault="00F745D0" w:rsidP="00F745D0">
            <w:pPr>
              <w:autoSpaceDE w:val="0"/>
              <w:autoSpaceDN w:val="0"/>
              <w:adjustRightInd w:val="0"/>
              <w:ind w:right="-108"/>
              <w:rPr>
                <w:rFonts w:ascii="Arial" w:hAnsi="Arial" w:cs="Arial"/>
                <w:i/>
                <w:iCs/>
                <w:sz w:val="20"/>
                <w:szCs w:val="20"/>
              </w:rPr>
            </w:pPr>
            <w:r w:rsidRPr="001F0712">
              <w:rPr>
                <w:rFonts w:ascii="Arial" w:hAnsi="Arial" w:cs="Arial"/>
                <w:sz w:val="20"/>
                <w:szCs w:val="20"/>
              </w:rPr>
              <w:t>Director of Corporate Services</w:t>
            </w:r>
            <w:r w:rsidRPr="001F0712">
              <w:rPr>
                <w:rFonts w:ascii="Arial" w:hAnsi="Arial" w:cs="Arial"/>
                <w:i/>
                <w:iCs/>
                <w:sz w:val="20"/>
                <w:szCs w:val="20"/>
              </w:rPr>
              <w:t xml:space="preserve"> </w:t>
            </w:r>
          </w:p>
          <w:p w14:paraId="73D28447" w14:textId="38D62F5A" w:rsidR="00F745D0" w:rsidRPr="001F0712" w:rsidRDefault="00F745D0" w:rsidP="00F745D0">
            <w:pPr>
              <w:autoSpaceDE w:val="0"/>
              <w:autoSpaceDN w:val="0"/>
              <w:adjustRightInd w:val="0"/>
              <w:ind w:right="-108"/>
              <w:rPr>
                <w:rFonts w:ascii="Arial" w:hAnsi="Arial" w:cs="Arial"/>
                <w:sz w:val="20"/>
                <w:szCs w:val="20"/>
              </w:rPr>
            </w:pPr>
            <w:r w:rsidRPr="001F0712">
              <w:rPr>
                <w:rFonts w:ascii="Arial" w:hAnsi="Arial" w:cs="Arial"/>
                <w:i/>
                <w:iCs/>
                <w:sz w:val="20"/>
                <w:szCs w:val="20"/>
              </w:rPr>
              <w:t>(competent)</w:t>
            </w:r>
          </w:p>
        </w:tc>
        <w:tc>
          <w:tcPr>
            <w:tcW w:w="1348" w:type="dxa"/>
            <w:vAlign w:val="center"/>
          </w:tcPr>
          <w:p w14:paraId="6E299871" w14:textId="2320A2AE" w:rsidR="00F745D0" w:rsidRPr="001F0712" w:rsidRDefault="00F745D0" w:rsidP="00F745D0">
            <w:pPr>
              <w:autoSpaceDE w:val="0"/>
              <w:autoSpaceDN w:val="0"/>
              <w:adjustRightInd w:val="0"/>
              <w:ind w:left="-41"/>
              <w:jc w:val="right"/>
              <w:rPr>
                <w:rFonts w:ascii="Arial" w:hAnsi="Arial" w:cs="Arial"/>
                <w:color w:val="000000"/>
                <w:sz w:val="20"/>
                <w:szCs w:val="20"/>
              </w:rPr>
            </w:pPr>
            <w:r w:rsidRPr="001F0712">
              <w:rPr>
                <w:rFonts w:ascii="Arial" w:hAnsi="Arial" w:cs="Arial"/>
                <w:color w:val="000000"/>
                <w:sz w:val="20"/>
                <w:szCs w:val="20"/>
              </w:rPr>
              <w:t>£71,083</w:t>
            </w:r>
          </w:p>
        </w:tc>
        <w:tc>
          <w:tcPr>
            <w:tcW w:w="1134" w:type="dxa"/>
            <w:vAlign w:val="center"/>
          </w:tcPr>
          <w:p w14:paraId="019E8262" w14:textId="11B31DAA" w:rsidR="00F745D0" w:rsidRPr="001F0712" w:rsidRDefault="00F745D0" w:rsidP="00F745D0">
            <w:pPr>
              <w:autoSpaceDE w:val="0"/>
              <w:autoSpaceDN w:val="0"/>
              <w:adjustRightInd w:val="0"/>
              <w:ind w:left="-383"/>
              <w:jc w:val="right"/>
              <w:rPr>
                <w:rFonts w:ascii="Arial" w:hAnsi="Arial" w:cs="Arial"/>
                <w:sz w:val="20"/>
                <w:szCs w:val="20"/>
              </w:rPr>
            </w:pPr>
            <w:r w:rsidRPr="001F0712">
              <w:rPr>
                <w:rFonts w:ascii="Arial" w:hAnsi="Arial" w:cs="Arial"/>
                <w:sz w:val="20"/>
                <w:szCs w:val="20"/>
              </w:rPr>
              <w:t>NIL</w:t>
            </w:r>
          </w:p>
        </w:tc>
        <w:tc>
          <w:tcPr>
            <w:tcW w:w="1144" w:type="dxa"/>
            <w:vAlign w:val="center"/>
          </w:tcPr>
          <w:p w14:paraId="38FC968F" w14:textId="1F85CA51" w:rsidR="00F745D0" w:rsidRPr="001F0712" w:rsidRDefault="00F745D0" w:rsidP="00F745D0">
            <w:pPr>
              <w:autoSpaceDE w:val="0"/>
              <w:autoSpaceDN w:val="0"/>
              <w:adjustRightInd w:val="0"/>
              <w:ind w:left="-383"/>
              <w:jc w:val="right"/>
              <w:rPr>
                <w:rFonts w:ascii="Arial" w:hAnsi="Arial" w:cs="Arial"/>
                <w:sz w:val="20"/>
                <w:szCs w:val="20"/>
              </w:rPr>
            </w:pPr>
            <w:r w:rsidRPr="001F0712">
              <w:rPr>
                <w:rFonts w:ascii="Arial" w:hAnsi="Arial" w:cs="Arial"/>
                <w:sz w:val="20"/>
                <w:szCs w:val="20"/>
              </w:rPr>
              <w:t>NIL</w:t>
            </w:r>
          </w:p>
        </w:tc>
        <w:tc>
          <w:tcPr>
            <w:tcW w:w="1436" w:type="dxa"/>
            <w:vAlign w:val="center"/>
          </w:tcPr>
          <w:p w14:paraId="4D28C531" w14:textId="6AAF4ACF" w:rsidR="00F745D0" w:rsidRPr="001F0712" w:rsidRDefault="00F745D0" w:rsidP="00F745D0">
            <w:pPr>
              <w:autoSpaceDE w:val="0"/>
              <w:autoSpaceDN w:val="0"/>
              <w:adjustRightInd w:val="0"/>
              <w:ind w:left="-383"/>
              <w:jc w:val="right"/>
              <w:rPr>
                <w:rFonts w:ascii="Arial" w:hAnsi="Arial" w:cs="Arial"/>
                <w:sz w:val="20"/>
                <w:szCs w:val="20"/>
              </w:rPr>
            </w:pPr>
            <w:r w:rsidRPr="001F0712">
              <w:rPr>
                <w:rFonts w:ascii="Arial" w:hAnsi="Arial" w:cs="Arial"/>
                <w:sz w:val="20"/>
                <w:szCs w:val="20"/>
              </w:rPr>
              <w:t>NIL</w:t>
            </w:r>
          </w:p>
        </w:tc>
        <w:tc>
          <w:tcPr>
            <w:tcW w:w="1378" w:type="dxa"/>
            <w:vAlign w:val="center"/>
          </w:tcPr>
          <w:p w14:paraId="187BAEAA" w14:textId="656BE2BF" w:rsidR="00F745D0" w:rsidRPr="001F0712" w:rsidRDefault="00F745D0" w:rsidP="00F745D0">
            <w:pPr>
              <w:autoSpaceDE w:val="0"/>
              <w:autoSpaceDN w:val="0"/>
              <w:adjustRightInd w:val="0"/>
              <w:ind w:left="85"/>
              <w:jc w:val="right"/>
              <w:rPr>
                <w:rFonts w:ascii="Arial" w:hAnsi="Arial" w:cs="Arial"/>
                <w:sz w:val="20"/>
                <w:szCs w:val="20"/>
              </w:rPr>
            </w:pPr>
            <w:r w:rsidRPr="001F0712">
              <w:rPr>
                <w:rFonts w:ascii="Arial" w:hAnsi="Arial" w:cs="Arial"/>
                <w:sz w:val="20"/>
                <w:szCs w:val="20"/>
              </w:rPr>
              <w:t xml:space="preserve"> £9,913 </w:t>
            </w:r>
          </w:p>
        </w:tc>
        <w:tc>
          <w:tcPr>
            <w:tcW w:w="1417" w:type="dxa"/>
            <w:vAlign w:val="center"/>
          </w:tcPr>
          <w:p w14:paraId="3326EDE9" w14:textId="039C90A9" w:rsidR="00F745D0" w:rsidRPr="001F0712" w:rsidRDefault="00F745D0" w:rsidP="00F745D0">
            <w:pPr>
              <w:autoSpaceDE w:val="0"/>
              <w:autoSpaceDN w:val="0"/>
              <w:adjustRightInd w:val="0"/>
              <w:ind w:left="85"/>
              <w:jc w:val="right"/>
              <w:rPr>
                <w:rFonts w:ascii="Arial" w:hAnsi="Arial" w:cs="Arial"/>
                <w:sz w:val="20"/>
                <w:szCs w:val="20"/>
              </w:rPr>
            </w:pPr>
            <w:r w:rsidRPr="001F0712">
              <w:rPr>
                <w:rFonts w:ascii="Arial" w:hAnsi="Arial" w:cs="Arial"/>
                <w:sz w:val="20"/>
                <w:szCs w:val="20"/>
              </w:rPr>
              <w:t xml:space="preserve"> £12,653 </w:t>
            </w:r>
          </w:p>
        </w:tc>
        <w:tc>
          <w:tcPr>
            <w:tcW w:w="1215" w:type="dxa"/>
            <w:vAlign w:val="center"/>
          </w:tcPr>
          <w:p w14:paraId="3021B48E" w14:textId="3E4431DF" w:rsidR="00F745D0" w:rsidRPr="001F0712" w:rsidRDefault="00F745D0" w:rsidP="00F745D0">
            <w:pPr>
              <w:autoSpaceDE w:val="0"/>
              <w:autoSpaceDN w:val="0"/>
              <w:adjustRightInd w:val="0"/>
              <w:ind w:left="85"/>
              <w:jc w:val="right"/>
              <w:rPr>
                <w:rFonts w:ascii="Arial" w:hAnsi="Arial" w:cs="Arial"/>
                <w:sz w:val="20"/>
                <w:szCs w:val="20"/>
              </w:rPr>
            </w:pPr>
            <w:r w:rsidRPr="001F0712">
              <w:rPr>
                <w:rFonts w:ascii="Arial" w:hAnsi="Arial" w:cs="Arial"/>
                <w:sz w:val="20"/>
                <w:szCs w:val="20"/>
              </w:rPr>
              <w:t xml:space="preserve"> £93,649 </w:t>
            </w:r>
          </w:p>
        </w:tc>
      </w:tr>
      <w:tr w:rsidR="00F745D0" w:rsidRPr="001F0712" w14:paraId="264EAFDB" w14:textId="77777777" w:rsidTr="003325C1">
        <w:tc>
          <w:tcPr>
            <w:tcW w:w="3397" w:type="dxa"/>
          </w:tcPr>
          <w:p w14:paraId="5AB52A12" w14:textId="77777777" w:rsidR="00F745D0" w:rsidRPr="001F0712" w:rsidRDefault="00F745D0" w:rsidP="00F745D0">
            <w:pPr>
              <w:autoSpaceDE w:val="0"/>
              <w:autoSpaceDN w:val="0"/>
              <w:adjustRightInd w:val="0"/>
              <w:ind w:right="-108"/>
              <w:rPr>
                <w:rFonts w:ascii="Arial" w:hAnsi="Arial" w:cs="Arial"/>
                <w:i/>
                <w:iCs/>
                <w:sz w:val="20"/>
                <w:szCs w:val="20"/>
              </w:rPr>
            </w:pPr>
            <w:r w:rsidRPr="001F0712">
              <w:rPr>
                <w:rFonts w:ascii="Arial" w:hAnsi="Arial" w:cs="Arial"/>
                <w:sz w:val="20"/>
                <w:szCs w:val="20"/>
              </w:rPr>
              <w:t>Director of People Services</w:t>
            </w:r>
            <w:r w:rsidRPr="001F0712">
              <w:rPr>
                <w:rFonts w:ascii="Arial" w:hAnsi="Arial" w:cs="Arial"/>
                <w:i/>
                <w:iCs/>
                <w:sz w:val="20"/>
                <w:szCs w:val="20"/>
              </w:rPr>
              <w:t xml:space="preserve"> </w:t>
            </w:r>
          </w:p>
          <w:p w14:paraId="26BE96F3" w14:textId="2CA4DF55" w:rsidR="00F745D0" w:rsidRPr="001F0712" w:rsidRDefault="00F745D0" w:rsidP="00F745D0">
            <w:pPr>
              <w:autoSpaceDE w:val="0"/>
              <w:autoSpaceDN w:val="0"/>
              <w:adjustRightInd w:val="0"/>
              <w:ind w:right="-108"/>
              <w:rPr>
                <w:rFonts w:ascii="Arial" w:hAnsi="Arial" w:cs="Arial"/>
                <w:sz w:val="20"/>
                <w:szCs w:val="20"/>
              </w:rPr>
            </w:pPr>
            <w:r w:rsidRPr="001F0712">
              <w:rPr>
                <w:rFonts w:ascii="Arial" w:hAnsi="Arial" w:cs="Arial"/>
                <w:i/>
                <w:iCs/>
                <w:sz w:val="20"/>
                <w:szCs w:val="20"/>
              </w:rPr>
              <w:t>(in development)</w:t>
            </w:r>
          </w:p>
        </w:tc>
        <w:tc>
          <w:tcPr>
            <w:tcW w:w="1348" w:type="dxa"/>
            <w:vAlign w:val="center"/>
          </w:tcPr>
          <w:p w14:paraId="78B1A50B" w14:textId="0D08137D" w:rsidR="00F745D0" w:rsidRPr="001F0712" w:rsidRDefault="00F745D0" w:rsidP="00F745D0">
            <w:pPr>
              <w:autoSpaceDE w:val="0"/>
              <w:autoSpaceDN w:val="0"/>
              <w:adjustRightInd w:val="0"/>
              <w:ind w:left="-41"/>
              <w:jc w:val="right"/>
              <w:rPr>
                <w:rFonts w:ascii="Arial" w:hAnsi="Arial" w:cs="Arial"/>
                <w:sz w:val="20"/>
                <w:szCs w:val="20"/>
              </w:rPr>
            </w:pPr>
            <w:r w:rsidRPr="001F0712">
              <w:rPr>
                <w:rFonts w:ascii="Arial" w:hAnsi="Arial" w:cs="Arial"/>
                <w:color w:val="000000"/>
                <w:sz w:val="20"/>
                <w:szCs w:val="20"/>
              </w:rPr>
              <w:t xml:space="preserve">£67,553 </w:t>
            </w:r>
          </w:p>
        </w:tc>
        <w:tc>
          <w:tcPr>
            <w:tcW w:w="1134" w:type="dxa"/>
            <w:vAlign w:val="center"/>
          </w:tcPr>
          <w:p w14:paraId="1D5F9F01" w14:textId="23F752B2" w:rsidR="00F745D0" w:rsidRPr="001F0712" w:rsidRDefault="00F745D0" w:rsidP="00F745D0">
            <w:pPr>
              <w:autoSpaceDE w:val="0"/>
              <w:autoSpaceDN w:val="0"/>
              <w:adjustRightInd w:val="0"/>
              <w:ind w:left="-383"/>
              <w:jc w:val="right"/>
              <w:rPr>
                <w:rFonts w:ascii="Arial" w:hAnsi="Arial" w:cs="Arial"/>
                <w:sz w:val="20"/>
                <w:szCs w:val="20"/>
              </w:rPr>
            </w:pPr>
            <w:r w:rsidRPr="001F0712">
              <w:rPr>
                <w:rFonts w:ascii="Arial" w:hAnsi="Arial" w:cs="Arial"/>
                <w:sz w:val="20"/>
                <w:szCs w:val="20"/>
              </w:rPr>
              <w:t>NIL</w:t>
            </w:r>
          </w:p>
        </w:tc>
        <w:tc>
          <w:tcPr>
            <w:tcW w:w="1144" w:type="dxa"/>
            <w:vAlign w:val="center"/>
          </w:tcPr>
          <w:p w14:paraId="7863A740" w14:textId="6463ADCB" w:rsidR="00F745D0" w:rsidRPr="001F0712" w:rsidRDefault="00F745D0" w:rsidP="00F745D0">
            <w:pPr>
              <w:autoSpaceDE w:val="0"/>
              <w:autoSpaceDN w:val="0"/>
              <w:adjustRightInd w:val="0"/>
              <w:ind w:left="-383"/>
              <w:jc w:val="right"/>
              <w:rPr>
                <w:rFonts w:ascii="Arial" w:hAnsi="Arial" w:cs="Arial"/>
                <w:sz w:val="20"/>
                <w:szCs w:val="20"/>
              </w:rPr>
            </w:pPr>
            <w:r w:rsidRPr="001F0712">
              <w:rPr>
                <w:rFonts w:ascii="Arial" w:hAnsi="Arial" w:cs="Arial"/>
                <w:sz w:val="20"/>
                <w:szCs w:val="20"/>
              </w:rPr>
              <w:t>NIL</w:t>
            </w:r>
          </w:p>
        </w:tc>
        <w:tc>
          <w:tcPr>
            <w:tcW w:w="1436" w:type="dxa"/>
            <w:vAlign w:val="center"/>
          </w:tcPr>
          <w:p w14:paraId="221443CE" w14:textId="5777DCD8" w:rsidR="00F745D0" w:rsidRPr="001F0712" w:rsidRDefault="00F745D0" w:rsidP="00F745D0">
            <w:pPr>
              <w:autoSpaceDE w:val="0"/>
              <w:autoSpaceDN w:val="0"/>
              <w:adjustRightInd w:val="0"/>
              <w:ind w:left="-383"/>
              <w:jc w:val="right"/>
              <w:rPr>
                <w:rFonts w:ascii="Arial" w:hAnsi="Arial" w:cs="Arial"/>
                <w:sz w:val="20"/>
                <w:szCs w:val="20"/>
              </w:rPr>
            </w:pPr>
            <w:r w:rsidRPr="001F0712">
              <w:rPr>
                <w:rFonts w:ascii="Arial" w:hAnsi="Arial" w:cs="Arial"/>
                <w:sz w:val="20"/>
                <w:szCs w:val="20"/>
              </w:rPr>
              <w:t>NIL</w:t>
            </w:r>
          </w:p>
        </w:tc>
        <w:tc>
          <w:tcPr>
            <w:tcW w:w="1378" w:type="dxa"/>
            <w:vAlign w:val="center"/>
          </w:tcPr>
          <w:p w14:paraId="5D7BED10" w14:textId="76E6A79A" w:rsidR="00F745D0" w:rsidRPr="001F0712" w:rsidRDefault="00F745D0" w:rsidP="00F745D0">
            <w:pPr>
              <w:autoSpaceDE w:val="0"/>
              <w:autoSpaceDN w:val="0"/>
              <w:adjustRightInd w:val="0"/>
              <w:ind w:left="85"/>
              <w:jc w:val="right"/>
              <w:rPr>
                <w:rFonts w:ascii="Arial" w:hAnsi="Arial" w:cs="Arial"/>
                <w:sz w:val="20"/>
                <w:szCs w:val="20"/>
              </w:rPr>
            </w:pPr>
            <w:r w:rsidRPr="001F0712">
              <w:rPr>
                <w:rFonts w:ascii="Arial" w:hAnsi="Arial" w:cs="Arial"/>
                <w:sz w:val="20"/>
                <w:szCs w:val="20"/>
              </w:rPr>
              <w:t xml:space="preserve"> £9,383 </w:t>
            </w:r>
          </w:p>
        </w:tc>
        <w:tc>
          <w:tcPr>
            <w:tcW w:w="1417" w:type="dxa"/>
            <w:vAlign w:val="center"/>
          </w:tcPr>
          <w:p w14:paraId="2880D622" w14:textId="286661A9" w:rsidR="00F745D0" w:rsidRPr="001F0712" w:rsidRDefault="00F745D0" w:rsidP="00F745D0">
            <w:pPr>
              <w:autoSpaceDE w:val="0"/>
              <w:autoSpaceDN w:val="0"/>
              <w:adjustRightInd w:val="0"/>
              <w:ind w:left="85"/>
              <w:jc w:val="right"/>
              <w:rPr>
                <w:rFonts w:ascii="Arial" w:hAnsi="Arial" w:cs="Arial"/>
                <w:sz w:val="20"/>
                <w:szCs w:val="20"/>
              </w:rPr>
            </w:pPr>
            <w:r w:rsidRPr="001F0712">
              <w:rPr>
                <w:rFonts w:ascii="Arial" w:hAnsi="Arial" w:cs="Arial"/>
                <w:sz w:val="20"/>
                <w:szCs w:val="20"/>
              </w:rPr>
              <w:t xml:space="preserve"> £12,024 </w:t>
            </w:r>
          </w:p>
        </w:tc>
        <w:tc>
          <w:tcPr>
            <w:tcW w:w="1215" w:type="dxa"/>
            <w:vAlign w:val="center"/>
          </w:tcPr>
          <w:p w14:paraId="7E79EB8E" w14:textId="593A1A77" w:rsidR="00F745D0" w:rsidRPr="001F0712" w:rsidRDefault="00F745D0" w:rsidP="00F745D0">
            <w:pPr>
              <w:autoSpaceDE w:val="0"/>
              <w:autoSpaceDN w:val="0"/>
              <w:adjustRightInd w:val="0"/>
              <w:ind w:left="85"/>
              <w:jc w:val="right"/>
              <w:rPr>
                <w:rFonts w:ascii="Arial" w:hAnsi="Arial" w:cs="Arial"/>
                <w:sz w:val="20"/>
                <w:szCs w:val="20"/>
              </w:rPr>
            </w:pPr>
            <w:r w:rsidRPr="001F0712">
              <w:rPr>
                <w:rFonts w:ascii="Arial" w:hAnsi="Arial" w:cs="Arial"/>
                <w:sz w:val="20"/>
                <w:szCs w:val="20"/>
              </w:rPr>
              <w:t xml:space="preserve"> £88,960 </w:t>
            </w:r>
          </w:p>
        </w:tc>
      </w:tr>
      <w:tr w:rsidR="00F745D0" w:rsidRPr="001F0712" w14:paraId="4C420EDC" w14:textId="77777777" w:rsidTr="003325C1">
        <w:tc>
          <w:tcPr>
            <w:tcW w:w="3397" w:type="dxa"/>
          </w:tcPr>
          <w:p w14:paraId="0D58EA72" w14:textId="77777777" w:rsidR="00F745D0" w:rsidRPr="001F0712" w:rsidRDefault="00F745D0" w:rsidP="00F745D0">
            <w:pPr>
              <w:autoSpaceDE w:val="0"/>
              <w:autoSpaceDN w:val="0"/>
              <w:adjustRightInd w:val="0"/>
              <w:ind w:right="-108"/>
              <w:rPr>
                <w:rFonts w:ascii="Arial" w:hAnsi="Arial" w:cs="Arial"/>
                <w:i/>
                <w:iCs/>
                <w:sz w:val="20"/>
                <w:szCs w:val="20"/>
              </w:rPr>
            </w:pPr>
            <w:r w:rsidRPr="001F0712">
              <w:rPr>
                <w:rFonts w:ascii="Arial" w:hAnsi="Arial" w:cs="Arial"/>
                <w:sz w:val="20"/>
                <w:szCs w:val="20"/>
              </w:rPr>
              <w:t>Director of People Services</w:t>
            </w:r>
            <w:r w:rsidRPr="001F0712">
              <w:rPr>
                <w:rFonts w:ascii="Arial" w:hAnsi="Arial" w:cs="Arial"/>
                <w:i/>
                <w:iCs/>
                <w:sz w:val="20"/>
                <w:szCs w:val="20"/>
              </w:rPr>
              <w:t xml:space="preserve"> </w:t>
            </w:r>
          </w:p>
          <w:p w14:paraId="2F13FF45" w14:textId="2961EBEE" w:rsidR="00F745D0" w:rsidRPr="001F0712" w:rsidRDefault="00F745D0" w:rsidP="00F745D0">
            <w:pPr>
              <w:autoSpaceDE w:val="0"/>
              <w:autoSpaceDN w:val="0"/>
              <w:adjustRightInd w:val="0"/>
              <w:ind w:right="-108"/>
              <w:rPr>
                <w:rFonts w:ascii="Arial" w:hAnsi="Arial" w:cs="Arial"/>
                <w:sz w:val="20"/>
                <w:szCs w:val="20"/>
              </w:rPr>
            </w:pPr>
            <w:r w:rsidRPr="001F0712">
              <w:rPr>
                <w:rFonts w:ascii="Arial" w:hAnsi="Arial" w:cs="Arial"/>
                <w:i/>
                <w:iCs/>
                <w:sz w:val="20"/>
                <w:szCs w:val="20"/>
              </w:rPr>
              <w:t>(competent)</w:t>
            </w:r>
          </w:p>
        </w:tc>
        <w:tc>
          <w:tcPr>
            <w:tcW w:w="1348" w:type="dxa"/>
            <w:vAlign w:val="center"/>
          </w:tcPr>
          <w:p w14:paraId="2D34BF27" w14:textId="6DC3D67B" w:rsidR="00F745D0" w:rsidRPr="001F0712" w:rsidRDefault="00F745D0" w:rsidP="00F745D0">
            <w:pPr>
              <w:autoSpaceDE w:val="0"/>
              <w:autoSpaceDN w:val="0"/>
              <w:adjustRightInd w:val="0"/>
              <w:ind w:left="-41"/>
              <w:jc w:val="right"/>
              <w:rPr>
                <w:rFonts w:ascii="Arial" w:hAnsi="Arial" w:cs="Arial"/>
                <w:color w:val="000000"/>
                <w:sz w:val="20"/>
                <w:szCs w:val="20"/>
              </w:rPr>
            </w:pPr>
            <w:r w:rsidRPr="001F0712">
              <w:rPr>
                <w:rFonts w:ascii="Arial" w:hAnsi="Arial" w:cs="Arial"/>
                <w:color w:val="000000"/>
                <w:sz w:val="20"/>
                <w:szCs w:val="20"/>
              </w:rPr>
              <w:t>£71,083</w:t>
            </w:r>
          </w:p>
        </w:tc>
        <w:tc>
          <w:tcPr>
            <w:tcW w:w="1134" w:type="dxa"/>
            <w:vAlign w:val="center"/>
          </w:tcPr>
          <w:p w14:paraId="24A8A252" w14:textId="0FD6F9D5" w:rsidR="00F745D0" w:rsidRPr="001F0712" w:rsidRDefault="00F745D0" w:rsidP="00F745D0">
            <w:pPr>
              <w:autoSpaceDE w:val="0"/>
              <w:autoSpaceDN w:val="0"/>
              <w:adjustRightInd w:val="0"/>
              <w:ind w:left="-383"/>
              <w:jc w:val="right"/>
              <w:rPr>
                <w:rFonts w:ascii="Arial" w:hAnsi="Arial" w:cs="Arial"/>
                <w:sz w:val="20"/>
                <w:szCs w:val="20"/>
              </w:rPr>
            </w:pPr>
            <w:r w:rsidRPr="001F0712">
              <w:rPr>
                <w:rFonts w:ascii="Arial" w:hAnsi="Arial" w:cs="Arial"/>
                <w:sz w:val="20"/>
                <w:szCs w:val="20"/>
              </w:rPr>
              <w:t>NIL</w:t>
            </w:r>
          </w:p>
        </w:tc>
        <w:tc>
          <w:tcPr>
            <w:tcW w:w="1144" w:type="dxa"/>
            <w:vAlign w:val="center"/>
          </w:tcPr>
          <w:p w14:paraId="7467D6F6" w14:textId="453B09F7" w:rsidR="00F745D0" w:rsidRPr="001F0712" w:rsidRDefault="00F745D0" w:rsidP="00F745D0">
            <w:pPr>
              <w:autoSpaceDE w:val="0"/>
              <w:autoSpaceDN w:val="0"/>
              <w:adjustRightInd w:val="0"/>
              <w:ind w:left="-383"/>
              <w:jc w:val="right"/>
              <w:rPr>
                <w:rFonts w:ascii="Arial" w:hAnsi="Arial" w:cs="Arial"/>
                <w:sz w:val="20"/>
                <w:szCs w:val="20"/>
              </w:rPr>
            </w:pPr>
            <w:r w:rsidRPr="001F0712">
              <w:rPr>
                <w:rFonts w:ascii="Arial" w:hAnsi="Arial" w:cs="Arial"/>
                <w:sz w:val="20"/>
                <w:szCs w:val="20"/>
              </w:rPr>
              <w:t>NIL</w:t>
            </w:r>
          </w:p>
        </w:tc>
        <w:tc>
          <w:tcPr>
            <w:tcW w:w="1436" w:type="dxa"/>
            <w:vAlign w:val="center"/>
          </w:tcPr>
          <w:p w14:paraId="4EAE9DE4" w14:textId="04FA1B4E" w:rsidR="00F745D0" w:rsidRPr="001F0712" w:rsidRDefault="00F745D0" w:rsidP="00F745D0">
            <w:pPr>
              <w:autoSpaceDE w:val="0"/>
              <w:autoSpaceDN w:val="0"/>
              <w:adjustRightInd w:val="0"/>
              <w:ind w:left="-383"/>
              <w:jc w:val="right"/>
              <w:rPr>
                <w:rFonts w:ascii="Arial" w:hAnsi="Arial" w:cs="Arial"/>
                <w:sz w:val="20"/>
                <w:szCs w:val="20"/>
              </w:rPr>
            </w:pPr>
            <w:r w:rsidRPr="001F0712">
              <w:rPr>
                <w:rFonts w:ascii="Arial" w:hAnsi="Arial" w:cs="Arial"/>
                <w:sz w:val="20"/>
                <w:szCs w:val="20"/>
              </w:rPr>
              <w:t>NIL</w:t>
            </w:r>
          </w:p>
        </w:tc>
        <w:tc>
          <w:tcPr>
            <w:tcW w:w="1378" w:type="dxa"/>
            <w:vAlign w:val="center"/>
          </w:tcPr>
          <w:p w14:paraId="1DA19A2F" w14:textId="09B8C692" w:rsidR="00F745D0" w:rsidRPr="001F0712" w:rsidRDefault="00F745D0" w:rsidP="00F745D0">
            <w:pPr>
              <w:autoSpaceDE w:val="0"/>
              <w:autoSpaceDN w:val="0"/>
              <w:adjustRightInd w:val="0"/>
              <w:ind w:left="85"/>
              <w:jc w:val="right"/>
              <w:rPr>
                <w:rFonts w:ascii="Arial" w:hAnsi="Arial" w:cs="Arial"/>
                <w:sz w:val="20"/>
                <w:szCs w:val="20"/>
              </w:rPr>
            </w:pPr>
            <w:r w:rsidRPr="001F0712">
              <w:rPr>
                <w:rFonts w:ascii="Arial" w:hAnsi="Arial" w:cs="Arial"/>
                <w:sz w:val="20"/>
                <w:szCs w:val="20"/>
              </w:rPr>
              <w:t xml:space="preserve"> £9,913 </w:t>
            </w:r>
          </w:p>
        </w:tc>
        <w:tc>
          <w:tcPr>
            <w:tcW w:w="1417" w:type="dxa"/>
            <w:vAlign w:val="center"/>
          </w:tcPr>
          <w:p w14:paraId="6C95A413" w14:textId="7ABD680F" w:rsidR="00F745D0" w:rsidRPr="001F0712" w:rsidRDefault="00F745D0" w:rsidP="00F745D0">
            <w:pPr>
              <w:autoSpaceDE w:val="0"/>
              <w:autoSpaceDN w:val="0"/>
              <w:adjustRightInd w:val="0"/>
              <w:ind w:left="85"/>
              <w:jc w:val="right"/>
              <w:rPr>
                <w:rFonts w:ascii="Arial" w:hAnsi="Arial" w:cs="Arial"/>
                <w:sz w:val="20"/>
                <w:szCs w:val="20"/>
              </w:rPr>
            </w:pPr>
            <w:r w:rsidRPr="001F0712">
              <w:rPr>
                <w:rFonts w:ascii="Arial" w:hAnsi="Arial" w:cs="Arial"/>
                <w:sz w:val="20"/>
                <w:szCs w:val="20"/>
              </w:rPr>
              <w:t xml:space="preserve"> £12,653 </w:t>
            </w:r>
          </w:p>
        </w:tc>
        <w:tc>
          <w:tcPr>
            <w:tcW w:w="1215" w:type="dxa"/>
            <w:vAlign w:val="center"/>
          </w:tcPr>
          <w:p w14:paraId="1BEC1DDB" w14:textId="25163AFF" w:rsidR="00F745D0" w:rsidRPr="001F0712" w:rsidRDefault="00F745D0" w:rsidP="00F745D0">
            <w:pPr>
              <w:autoSpaceDE w:val="0"/>
              <w:autoSpaceDN w:val="0"/>
              <w:adjustRightInd w:val="0"/>
              <w:ind w:left="85"/>
              <w:jc w:val="right"/>
              <w:rPr>
                <w:rFonts w:ascii="Arial" w:hAnsi="Arial" w:cs="Arial"/>
                <w:sz w:val="20"/>
                <w:szCs w:val="20"/>
              </w:rPr>
            </w:pPr>
            <w:r w:rsidRPr="001F0712">
              <w:rPr>
                <w:rFonts w:ascii="Arial" w:hAnsi="Arial" w:cs="Arial"/>
                <w:sz w:val="20"/>
                <w:szCs w:val="20"/>
              </w:rPr>
              <w:t xml:space="preserve"> £93,649 </w:t>
            </w:r>
          </w:p>
        </w:tc>
      </w:tr>
      <w:tr w:rsidR="00F745D0" w:rsidRPr="001F0712" w14:paraId="36725203" w14:textId="77777777" w:rsidTr="003325C1">
        <w:tc>
          <w:tcPr>
            <w:tcW w:w="3397" w:type="dxa"/>
          </w:tcPr>
          <w:p w14:paraId="738DB0A2" w14:textId="599A9349" w:rsidR="00F745D0" w:rsidRPr="001F0712" w:rsidRDefault="00F745D0" w:rsidP="00F745D0">
            <w:pPr>
              <w:autoSpaceDE w:val="0"/>
              <w:autoSpaceDN w:val="0"/>
              <w:adjustRightInd w:val="0"/>
              <w:ind w:right="-108"/>
              <w:rPr>
                <w:rFonts w:ascii="Arial" w:hAnsi="Arial" w:cs="Arial"/>
                <w:sz w:val="20"/>
                <w:szCs w:val="20"/>
              </w:rPr>
            </w:pPr>
            <w:r w:rsidRPr="001F0712">
              <w:rPr>
                <w:rFonts w:ascii="Arial" w:hAnsi="Arial" w:cs="Arial"/>
                <w:sz w:val="20"/>
                <w:szCs w:val="20"/>
              </w:rPr>
              <w:t>Heads of Service (SCP 46 – 49)</w:t>
            </w:r>
          </w:p>
        </w:tc>
        <w:tc>
          <w:tcPr>
            <w:tcW w:w="1348" w:type="dxa"/>
            <w:vAlign w:val="center"/>
          </w:tcPr>
          <w:p w14:paraId="1FC6216F" w14:textId="3C68D3C8" w:rsidR="00F745D0" w:rsidRPr="001F0712" w:rsidRDefault="00F745D0" w:rsidP="00F745D0">
            <w:pPr>
              <w:autoSpaceDE w:val="0"/>
              <w:autoSpaceDN w:val="0"/>
              <w:adjustRightInd w:val="0"/>
              <w:ind w:left="-41"/>
              <w:jc w:val="right"/>
              <w:rPr>
                <w:rFonts w:ascii="Arial" w:hAnsi="Arial" w:cs="Arial"/>
                <w:color w:val="000000"/>
                <w:sz w:val="20"/>
                <w:szCs w:val="20"/>
              </w:rPr>
            </w:pPr>
            <w:r w:rsidRPr="001F0712">
              <w:rPr>
                <w:rFonts w:ascii="Arial" w:hAnsi="Arial" w:cs="Arial"/>
                <w:color w:val="000000"/>
                <w:sz w:val="20"/>
                <w:szCs w:val="20"/>
              </w:rPr>
              <w:t xml:space="preserve">£57,263 </w:t>
            </w:r>
          </w:p>
          <w:p w14:paraId="1DBE2466" w14:textId="15AC5AC4" w:rsidR="00F745D0" w:rsidRPr="001F0712" w:rsidRDefault="00F745D0" w:rsidP="00F745D0">
            <w:pPr>
              <w:autoSpaceDE w:val="0"/>
              <w:autoSpaceDN w:val="0"/>
              <w:adjustRightInd w:val="0"/>
              <w:ind w:left="-41"/>
              <w:jc w:val="right"/>
              <w:rPr>
                <w:rFonts w:ascii="Arial" w:hAnsi="Arial" w:cs="Arial"/>
                <w:color w:val="000000"/>
                <w:sz w:val="20"/>
                <w:szCs w:val="20"/>
              </w:rPr>
            </w:pPr>
            <w:r w:rsidRPr="001F0712">
              <w:rPr>
                <w:rFonts w:ascii="Arial" w:hAnsi="Arial" w:cs="Arial"/>
                <w:color w:val="000000"/>
                <w:sz w:val="20"/>
                <w:szCs w:val="20"/>
              </w:rPr>
              <w:t>- £59,489</w:t>
            </w:r>
          </w:p>
        </w:tc>
        <w:tc>
          <w:tcPr>
            <w:tcW w:w="1134" w:type="dxa"/>
            <w:vAlign w:val="center"/>
          </w:tcPr>
          <w:p w14:paraId="2287261D" w14:textId="7D17DC9F" w:rsidR="00F745D0" w:rsidRPr="001F0712" w:rsidRDefault="00F745D0" w:rsidP="00F745D0">
            <w:pPr>
              <w:autoSpaceDE w:val="0"/>
              <w:autoSpaceDN w:val="0"/>
              <w:adjustRightInd w:val="0"/>
              <w:ind w:left="-383"/>
              <w:jc w:val="right"/>
              <w:rPr>
                <w:rFonts w:ascii="Arial" w:hAnsi="Arial" w:cs="Arial"/>
                <w:sz w:val="20"/>
                <w:szCs w:val="20"/>
              </w:rPr>
            </w:pPr>
            <w:r w:rsidRPr="001F0712">
              <w:rPr>
                <w:rFonts w:ascii="Arial" w:hAnsi="Arial" w:cs="Arial"/>
                <w:sz w:val="20"/>
                <w:szCs w:val="20"/>
              </w:rPr>
              <w:t>NIL</w:t>
            </w:r>
          </w:p>
        </w:tc>
        <w:tc>
          <w:tcPr>
            <w:tcW w:w="1144" w:type="dxa"/>
            <w:vAlign w:val="center"/>
          </w:tcPr>
          <w:p w14:paraId="35CDDDD5" w14:textId="1777BD7F" w:rsidR="00F745D0" w:rsidRPr="001F0712" w:rsidRDefault="00F745D0" w:rsidP="00F745D0">
            <w:pPr>
              <w:autoSpaceDE w:val="0"/>
              <w:autoSpaceDN w:val="0"/>
              <w:adjustRightInd w:val="0"/>
              <w:ind w:left="-383"/>
              <w:jc w:val="right"/>
              <w:rPr>
                <w:rFonts w:ascii="Arial" w:hAnsi="Arial" w:cs="Arial"/>
                <w:sz w:val="20"/>
                <w:szCs w:val="20"/>
              </w:rPr>
            </w:pPr>
            <w:r w:rsidRPr="001F0712">
              <w:rPr>
                <w:rFonts w:ascii="Arial" w:hAnsi="Arial" w:cs="Arial"/>
                <w:sz w:val="20"/>
                <w:szCs w:val="20"/>
              </w:rPr>
              <w:t>NIL</w:t>
            </w:r>
          </w:p>
        </w:tc>
        <w:tc>
          <w:tcPr>
            <w:tcW w:w="1436" w:type="dxa"/>
            <w:vAlign w:val="center"/>
          </w:tcPr>
          <w:p w14:paraId="35C4102B" w14:textId="67AD5CD1" w:rsidR="00F745D0" w:rsidRPr="001F0712" w:rsidRDefault="00F745D0" w:rsidP="00F745D0">
            <w:pPr>
              <w:autoSpaceDE w:val="0"/>
              <w:autoSpaceDN w:val="0"/>
              <w:adjustRightInd w:val="0"/>
              <w:ind w:left="-383"/>
              <w:jc w:val="right"/>
              <w:rPr>
                <w:rFonts w:ascii="Arial" w:hAnsi="Arial" w:cs="Arial"/>
                <w:sz w:val="20"/>
                <w:szCs w:val="20"/>
              </w:rPr>
            </w:pPr>
            <w:r w:rsidRPr="001F0712">
              <w:rPr>
                <w:rFonts w:ascii="Arial" w:hAnsi="Arial" w:cs="Arial"/>
                <w:sz w:val="20"/>
                <w:szCs w:val="20"/>
              </w:rPr>
              <w:t>NIL</w:t>
            </w:r>
          </w:p>
        </w:tc>
        <w:tc>
          <w:tcPr>
            <w:tcW w:w="1378" w:type="dxa"/>
            <w:vAlign w:val="center"/>
          </w:tcPr>
          <w:p w14:paraId="6FB52208" w14:textId="5204F984" w:rsidR="00F745D0" w:rsidRPr="001F0712" w:rsidRDefault="00F745D0" w:rsidP="00F745D0">
            <w:pPr>
              <w:autoSpaceDE w:val="0"/>
              <w:autoSpaceDN w:val="0"/>
              <w:adjustRightInd w:val="0"/>
              <w:ind w:left="318"/>
              <w:jc w:val="right"/>
              <w:rPr>
                <w:rFonts w:ascii="Arial" w:hAnsi="Arial" w:cs="Arial"/>
                <w:color w:val="000000"/>
                <w:sz w:val="20"/>
                <w:szCs w:val="20"/>
              </w:rPr>
            </w:pPr>
            <w:r w:rsidRPr="001F0712">
              <w:rPr>
                <w:rFonts w:ascii="Arial" w:hAnsi="Arial" w:cs="Arial"/>
                <w:color w:val="000000"/>
                <w:sz w:val="20"/>
                <w:szCs w:val="20"/>
              </w:rPr>
              <w:t xml:space="preserve">£7,670 </w:t>
            </w:r>
          </w:p>
          <w:p w14:paraId="3DAD08A7" w14:textId="2AC69F83" w:rsidR="00F745D0" w:rsidRPr="001F0712" w:rsidRDefault="00F745D0" w:rsidP="00F745D0">
            <w:pPr>
              <w:autoSpaceDE w:val="0"/>
              <w:autoSpaceDN w:val="0"/>
              <w:adjustRightInd w:val="0"/>
              <w:ind w:left="85"/>
              <w:jc w:val="right"/>
              <w:rPr>
                <w:rFonts w:ascii="Arial" w:hAnsi="Arial" w:cs="Arial"/>
                <w:color w:val="000000"/>
                <w:sz w:val="20"/>
                <w:szCs w:val="20"/>
              </w:rPr>
            </w:pPr>
            <w:r w:rsidRPr="001F0712">
              <w:rPr>
                <w:rFonts w:ascii="Arial" w:hAnsi="Arial" w:cs="Arial"/>
                <w:color w:val="000000"/>
                <w:sz w:val="20"/>
                <w:szCs w:val="20"/>
              </w:rPr>
              <w:t>- £8,174</w:t>
            </w:r>
          </w:p>
        </w:tc>
        <w:tc>
          <w:tcPr>
            <w:tcW w:w="1417" w:type="dxa"/>
            <w:vAlign w:val="center"/>
          </w:tcPr>
          <w:p w14:paraId="473B7184" w14:textId="6A044F97" w:rsidR="00F745D0" w:rsidRPr="001F0712" w:rsidRDefault="00F745D0" w:rsidP="00F745D0">
            <w:pPr>
              <w:autoSpaceDE w:val="0"/>
              <w:autoSpaceDN w:val="0"/>
              <w:adjustRightInd w:val="0"/>
              <w:ind w:left="318"/>
              <w:jc w:val="right"/>
              <w:rPr>
                <w:rFonts w:ascii="Arial" w:hAnsi="Arial" w:cs="Arial"/>
                <w:color w:val="000000"/>
                <w:sz w:val="20"/>
                <w:szCs w:val="20"/>
              </w:rPr>
            </w:pPr>
            <w:r w:rsidRPr="001F0712">
              <w:rPr>
                <w:rFonts w:ascii="Arial" w:hAnsi="Arial" w:cs="Arial"/>
                <w:color w:val="000000"/>
                <w:sz w:val="20"/>
                <w:szCs w:val="20"/>
              </w:rPr>
              <w:t xml:space="preserve">£9,991 </w:t>
            </w:r>
          </w:p>
          <w:p w14:paraId="3231D000" w14:textId="170F68F7" w:rsidR="00F745D0" w:rsidRPr="001F0712" w:rsidRDefault="00F745D0" w:rsidP="00F745D0">
            <w:pPr>
              <w:autoSpaceDE w:val="0"/>
              <w:autoSpaceDN w:val="0"/>
              <w:adjustRightInd w:val="0"/>
              <w:ind w:left="85"/>
              <w:jc w:val="right"/>
              <w:rPr>
                <w:rFonts w:ascii="Arial" w:hAnsi="Arial" w:cs="Arial"/>
                <w:color w:val="000000"/>
                <w:sz w:val="20"/>
                <w:szCs w:val="20"/>
              </w:rPr>
            </w:pPr>
            <w:r w:rsidRPr="001F0712">
              <w:rPr>
                <w:rFonts w:ascii="Arial" w:hAnsi="Arial" w:cs="Arial"/>
                <w:color w:val="000000"/>
                <w:sz w:val="20"/>
                <w:szCs w:val="20"/>
              </w:rPr>
              <w:t>- £10,589</w:t>
            </w:r>
          </w:p>
        </w:tc>
        <w:tc>
          <w:tcPr>
            <w:tcW w:w="1215" w:type="dxa"/>
            <w:vAlign w:val="center"/>
          </w:tcPr>
          <w:p w14:paraId="2211D372" w14:textId="75AED1C8" w:rsidR="00F745D0" w:rsidRPr="001F0712" w:rsidRDefault="00F745D0" w:rsidP="003325C1">
            <w:pPr>
              <w:autoSpaceDE w:val="0"/>
              <w:autoSpaceDN w:val="0"/>
              <w:adjustRightInd w:val="0"/>
              <w:ind w:left="113"/>
              <w:jc w:val="right"/>
              <w:rPr>
                <w:rFonts w:ascii="Arial" w:hAnsi="Arial" w:cs="Arial"/>
                <w:color w:val="000000"/>
                <w:sz w:val="20"/>
                <w:szCs w:val="20"/>
              </w:rPr>
            </w:pPr>
            <w:r w:rsidRPr="001F0712">
              <w:rPr>
                <w:rFonts w:ascii="Arial" w:hAnsi="Arial" w:cs="Arial"/>
                <w:color w:val="000000"/>
                <w:sz w:val="20"/>
                <w:szCs w:val="20"/>
              </w:rPr>
              <w:t xml:space="preserve">£73,792 </w:t>
            </w:r>
          </w:p>
          <w:p w14:paraId="3C0567F7" w14:textId="2588C6E6" w:rsidR="00F745D0" w:rsidRPr="001F0712" w:rsidRDefault="00F745D0" w:rsidP="00F745D0">
            <w:pPr>
              <w:autoSpaceDE w:val="0"/>
              <w:autoSpaceDN w:val="0"/>
              <w:adjustRightInd w:val="0"/>
              <w:ind w:left="85"/>
              <w:jc w:val="right"/>
              <w:rPr>
                <w:rFonts w:ascii="Arial" w:hAnsi="Arial" w:cs="Arial"/>
                <w:color w:val="000000"/>
                <w:sz w:val="20"/>
                <w:szCs w:val="20"/>
              </w:rPr>
            </w:pPr>
            <w:r w:rsidRPr="001F0712">
              <w:rPr>
                <w:rFonts w:ascii="Arial" w:hAnsi="Arial" w:cs="Arial"/>
                <w:color w:val="000000"/>
                <w:sz w:val="20"/>
                <w:szCs w:val="20"/>
              </w:rPr>
              <w:t>- £78,252</w:t>
            </w:r>
          </w:p>
        </w:tc>
      </w:tr>
    </w:tbl>
    <w:p w14:paraId="4BEF9908" w14:textId="3A5D4781" w:rsidR="006219E5" w:rsidRPr="001F0712" w:rsidRDefault="00CB6C66" w:rsidP="008E167B">
      <w:pPr>
        <w:ind w:left="709"/>
        <w:rPr>
          <w:rFonts w:ascii="Arial" w:hAnsi="Arial" w:cs="Arial"/>
        </w:rPr>
      </w:pPr>
      <w:r w:rsidRPr="00F10107">
        <w:rPr>
          <w:rFonts w:ascii="Arial" w:hAnsi="Arial" w:cs="Arial"/>
        </w:rPr>
        <mc:AlternateContent>
          <mc:Choice Requires="wps">
            <w:drawing>
              <wp:anchor distT="45720" distB="45720" distL="114300" distR="114300" simplePos="0" relativeHeight="251650560" behindDoc="0" locked="0" layoutInCell="1" allowOverlap="1" wp14:anchorId="5C82719D" wp14:editId="07D8CE41">
                <wp:simplePos x="0" y="0"/>
                <wp:positionH relativeFrom="column">
                  <wp:posOffset>248920</wp:posOffset>
                </wp:positionH>
                <wp:positionV relativeFrom="paragraph">
                  <wp:posOffset>4758115</wp:posOffset>
                </wp:positionV>
                <wp:extent cx="3033757" cy="333375"/>
                <wp:effectExtent l="0" t="0" r="0" b="9525"/>
                <wp:wrapNone/>
                <wp:docPr id="401028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3757" cy="333375"/>
                        </a:xfrm>
                        <a:prstGeom prst="rect">
                          <a:avLst/>
                        </a:prstGeom>
                        <a:solidFill>
                          <a:srgbClr val="FFFFFF"/>
                        </a:solidFill>
                        <a:ln w="9525">
                          <a:noFill/>
                          <a:miter lim="800000"/>
                          <a:headEnd/>
                          <a:tailEnd/>
                        </a:ln>
                      </wps:spPr>
                      <wps:txbx>
                        <w:txbxContent>
                          <w:p w14:paraId="289C4526" w14:textId="0C70E258" w:rsidR="00FA440D" w:rsidRPr="00526755" w:rsidRDefault="000611CB" w:rsidP="00FA440D">
                            <w:pPr>
                              <w:rPr>
                                <w:rFonts w:ascii="Arial" w:hAnsi="Arial" w:cs="Arial"/>
                                <w:b/>
                                <w:bCs/>
                                <w:color w:val="215E99" w:themeColor="text2" w:themeTint="BF"/>
                              </w:rPr>
                            </w:pPr>
                            <w:r w:rsidRPr="00526755">
                              <w:rPr>
                                <w:rFonts w:ascii="Arial" w:hAnsi="Arial" w:cs="Arial"/>
                                <w:b/>
                                <w:bCs/>
                                <w:color w:val="215E99" w:themeColor="text2" w:themeTint="BF"/>
                              </w:rPr>
                              <w:t xml:space="preserve">Note: </w:t>
                            </w:r>
                            <w:r w:rsidR="00FA440D" w:rsidRPr="00526755">
                              <w:rPr>
                                <w:rFonts w:ascii="Arial" w:hAnsi="Arial" w:cs="Arial"/>
                                <w:b/>
                                <w:bCs/>
                                <w:color w:val="215E99" w:themeColor="text2" w:themeTint="BF"/>
                              </w:rPr>
                              <w:t xml:space="preserve"> 2025/26 pay awards </w:t>
                            </w:r>
                            <w:r w:rsidR="00C975B7" w:rsidRPr="00526755">
                              <w:rPr>
                                <w:rFonts w:ascii="Arial" w:hAnsi="Arial" w:cs="Arial"/>
                                <w:b/>
                                <w:bCs/>
                                <w:color w:val="215E99" w:themeColor="text2" w:themeTint="BF"/>
                              </w:rPr>
                              <w:t xml:space="preserve">are </w:t>
                            </w:r>
                            <w:r w:rsidR="00FA440D" w:rsidRPr="00526755">
                              <w:rPr>
                                <w:rFonts w:ascii="Arial" w:hAnsi="Arial" w:cs="Arial"/>
                                <w:b/>
                                <w:bCs/>
                                <w:color w:val="215E99" w:themeColor="text2" w:themeTint="BF"/>
                              </w:rPr>
                              <w:t>pending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2719D" id="_x0000_s1030" type="#_x0000_t202" style="position:absolute;left:0;text-align:left;margin-left:19.6pt;margin-top:374.65pt;width:238.9pt;height:26.2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" stroked="f">
                <v:textbox>
                  <w:txbxContent>
                    <w:p w14:paraId="289C4526" w14:textId="0C70E258" w:rsidR="00FA440D" w:rsidRPr="00526755" w:rsidRDefault="000611CB" w:rsidP="00FA440D">
                      <w:pPr>
                        <w:rPr>
                          <w:rFonts w:ascii="Arial" w:hAnsi="Arial" w:cs="Arial"/>
                          <w:b/>
                          <w:bCs/>
                          <w:color w:val="215E99" w:themeColor="text2" w:themeTint="BF"/>
                        </w:rPr>
                      </w:pPr>
                      <w:r w:rsidRPr="00526755">
                        <w:rPr>
                          <w:rFonts w:ascii="Arial" w:hAnsi="Arial" w:cs="Arial"/>
                          <w:b/>
                          <w:bCs/>
                          <w:color w:val="215E99" w:themeColor="text2" w:themeTint="BF"/>
                        </w:rPr>
                        <w:t xml:space="preserve">Note: </w:t>
                      </w:r>
                      <w:r w:rsidR="00FA440D" w:rsidRPr="00526755">
                        <w:rPr>
                          <w:rFonts w:ascii="Arial" w:hAnsi="Arial" w:cs="Arial"/>
                          <w:b/>
                          <w:bCs/>
                          <w:color w:val="215E99" w:themeColor="text2" w:themeTint="BF"/>
                        </w:rPr>
                        <w:t xml:space="preserve"> 2025/26 pay awards </w:t>
                      </w:r>
                      <w:r w:rsidR="00C975B7" w:rsidRPr="00526755">
                        <w:rPr>
                          <w:rFonts w:ascii="Arial" w:hAnsi="Arial" w:cs="Arial"/>
                          <w:b/>
                          <w:bCs/>
                          <w:color w:val="215E99" w:themeColor="text2" w:themeTint="BF"/>
                        </w:rPr>
                        <w:t xml:space="preserve">are </w:t>
                      </w:r>
                      <w:r w:rsidR="00FA440D" w:rsidRPr="00526755">
                        <w:rPr>
                          <w:rFonts w:ascii="Arial" w:hAnsi="Arial" w:cs="Arial"/>
                          <w:b/>
                          <w:bCs/>
                          <w:color w:val="215E99" w:themeColor="text2" w:themeTint="BF"/>
                        </w:rPr>
                        <w:t>pending</w:t>
                      </w:r>
                    </w:p>
                  </w:txbxContent>
                </v:textbox>
              </v:shape>
            </w:pict>
          </mc:Fallback>
        </mc:AlternateContent>
      </w:r>
    </w:p>
    <w:sectPr w:rsidR="006219E5" w:rsidRPr="001F0712" w:rsidSect="00856A31">
      <w:pgSz w:w="16838" w:h="11906" w:orient="landscape"/>
      <w:pgMar w:top="1418" w:right="1440" w:bottom="1800" w:left="143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A79A3" w14:textId="77777777" w:rsidR="005E4252" w:rsidRDefault="005E4252" w:rsidP="00C76174">
      <w:r>
        <w:separator/>
      </w:r>
    </w:p>
  </w:endnote>
  <w:endnote w:type="continuationSeparator" w:id="0">
    <w:p w14:paraId="1A671955" w14:textId="77777777" w:rsidR="005E4252" w:rsidRDefault="005E4252" w:rsidP="00C76174">
      <w:r>
        <w:continuationSeparator/>
      </w:r>
    </w:p>
  </w:endnote>
  <w:endnote w:type="continuationNotice" w:id="1">
    <w:p w14:paraId="392C080F" w14:textId="77777777" w:rsidR="005E4252" w:rsidRDefault="005E4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1B0EB" w14:textId="77777777" w:rsidR="00C76174" w:rsidRDefault="00C76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E6757" w14:textId="77777777" w:rsidR="00C76174" w:rsidRDefault="00C76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C78D4" w14:textId="77777777" w:rsidR="00C76174" w:rsidRDefault="00C76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E127D" w14:textId="77777777" w:rsidR="005E4252" w:rsidRDefault="005E4252" w:rsidP="00C76174">
      <w:r>
        <w:separator/>
      </w:r>
    </w:p>
  </w:footnote>
  <w:footnote w:type="continuationSeparator" w:id="0">
    <w:p w14:paraId="4AF26E99" w14:textId="77777777" w:rsidR="005E4252" w:rsidRDefault="005E4252" w:rsidP="00C76174">
      <w:r>
        <w:continuationSeparator/>
      </w:r>
    </w:p>
  </w:footnote>
  <w:footnote w:type="continuationNotice" w:id="1">
    <w:p w14:paraId="2BECCD24" w14:textId="77777777" w:rsidR="005E4252" w:rsidRDefault="005E42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7733E" w14:textId="77777777" w:rsidR="00C76174" w:rsidRDefault="00942EA0" w:rsidP="00942EA0">
    <w:pPr>
      <w:pStyle w:val="Header"/>
      <w:jc w:val="center"/>
      <w:rPr>
        <w:rFonts w:ascii="Arial Unicode MS" w:eastAsia="Arial Unicode MS" w:hAnsi="Arial Unicode MS" w:cs="Arial Unicode MS"/>
        <w:color w:val="000000"/>
        <w:sz w:val="17"/>
      </w:rPr>
    </w:pPr>
    <w:bookmarkStart w:id="24" w:name="aliashMicrosoftOffice1HeaderEvenPages"/>
    <w:r>
      <w:rPr>
        <w:rFonts w:ascii="Arial Unicode MS" w:eastAsia="Arial Unicode MS" w:hAnsi="Arial Unicode MS" w:cs="Arial Unicode MS"/>
        <w:color w:val="000000"/>
        <w:sz w:val="17"/>
      </w:rPr>
      <w:t xml:space="preserve">OFFICIAL </w:t>
    </w:r>
  </w:p>
  <w:bookmarkEnd w:id="24"/>
  <w:p w14:paraId="0AAD02BE" w14:textId="77777777" w:rsidR="00C76174" w:rsidRDefault="00C76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10FC8" w14:textId="77777777" w:rsidR="00C76174" w:rsidRDefault="00942EA0" w:rsidP="00942EA0">
    <w:pPr>
      <w:pStyle w:val="Header"/>
      <w:jc w:val="center"/>
      <w:rPr>
        <w:rFonts w:ascii="Arial Unicode MS" w:eastAsia="Arial Unicode MS" w:hAnsi="Arial Unicode MS" w:cs="Arial Unicode MS"/>
        <w:color w:val="000000"/>
        <w:sz w:val="17"/>
      </w:rPr>
    </w:pPr>
    <w:bookmarkStart w:id="25" w:name="aliashMicrosoftOffice1HeaderPrimary"/>
    <w:r>
      <w:rPr>
        <w:rFonts w:ascii="Arial Unicode MS" w:eastAsia="Arial Unicode MS" w:hAnsi="Arial Unicode MS" w:cs="Arial Unicode MS"/>
        <w:color w:val="000000"/>
        <w:sz w:val="17"/>
      </w:rPr>
      <w:t xml:space="preserve">OFFICIAL </w:t>
    </w:r>
  </w:p>
  <w:bookmarkEnd w:id="25"/>
  <w:p w14:paraId="02173BAF" w14:textId="77777777" w:rsidR="00C76174" w:rsidRDefault="00C761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0DBAB" w14:textId="77777777" w:rsidR="00C76174" w:rsidRDefault="00942EA0" w:rsidP="00942EA0">
    <w:pPr>
      <w:pStyle w:val="Header"/>
      <w:jc w:val="center"/>
      <w:rPr>
        <w:rFonts w:ascii="Arial Unicode MS" w:eastAsia="Arial Unicode MS" w:hAnsi="Arial Unicode MS" w:cs="Arial Unicode MS"/>
        <w:color w:val="000000"/>
        <w:sz w:val="17"/>
      </w:rPr>
    </w:pPr>
    <w:bookmarkStart w:id="26" w:name="aliashMicrosoftOffice1HeaderFirstPage"/>
    <w:r>
      <w:rPr>
        <w:rFonts w:ascii="Arial Unicode MS" w:eastAsia="Arial Unicode MS" w:hAnsi="Arial Unicode MS" w:cs="Arial Unicode MS"/>
        <w:color w:val="000000"/>
        <w:sz w:val="17"/>
      </w:rPr>
      <w:t xml:space="preserve">OFFICIAL </w:t>
    </w:r>
  </w:p>
  <w:bookmarkEnd w:id="26"/>
  <w:p w14:paraId="54A7DB2E" w14:textId="77777777" w:rsidR="00C76174" w:rsidRDefault="00C76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0A0A"/>
    <w:multiLevelType w:val="hybridMultilevel"/>
    <w:tmpl w:val="B3A8B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64796"/>
    <w:multiLevelType w:val="hybridMultilevel"/>
    <w:tmpl w:val="29B0A0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B15980"/>
    <w:multiLevelType w:val="multilevel"/>
    <w:tmpl w:val="B7DAB264"/>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C53534"/>
    <w:multiLevelType w:val="hybridMultilevel"/>
    <w:tmpl w:val="B65ED69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DA80E62"/>
    <w:multiLevelType w:val="multilevel"/>
    <w:tmpl w:val="153CEEA6"/>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581645"/>
    <w:multiLevelType w:val="hybridMultilevel"/>
    <w:tmpl w:val="AB2C69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8672CA"/>
    <w:multiLevelType w:val="hybridMultilevel"/>
    <w:tmpl w:val="0AEC83D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30E44EED"/>
    <w:multiLevelType w:val="multilevel"/>
    <w:tmpl w:val="D99CC93E"/>
    <w:lvl w:ilvl="0">
      <w:start w:val="1"/>
      <w:numFmt w:val="decimal"/>
      <w:pStyle w:val="Heading2"/>
      <w:lvlText w:val="%1"/>
      <w:lvlJc w:val="left"/>
      <w:pPr>
        <w:tabs>
          <w:tab w:val="num" w:pos="720"/>
        </w:tabs>
        <w:ind w:left="720" w:hanging="720"/>
      </w:pPr>
      <w:rPr>
        <w:b w:val="0"/>
        <w:i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37C95B35"/>
    <w:multiLevelType w:val="multilevel"/>
    <w:tmpl w:val="93F21A3E"/>
    <w:lvl w:ilvl="0">
      <w:start w:val="5"/>
      <w:numFmt w:val="decimal"/>
      <w:lvlText w:val="%1"/>
      <w:lvlJc w:val="left"/>
      <w:pPr>
        <w:ind w:left="525" w:hanging="525"/>
      </w:pPr>
      <w:rPr>
        <w:rFonts w:hint="default"/>
        <w:color w:val="auto"/>
      </w:rPr>
    </w:lvl>
    <w:lvl w:ilvl="1">
      <w:start w:val="1"/>
      <w:numFmt w:val="decimal"/>
      <w:lvlText w:val="%1.%2"/>
      <w:lvlJc w:val="left"/>
      <w:pPr>
        <w:ind w:left="525" w:hanging="525"/>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3F9E60E0"/>
    <w:multiLevelType w:val="hybridMultilevel"/>
    <w:tmpl w:val="CC5C73AA"/>
    <w:lvl w:ilvl="0" w:tplc="9A264F0A">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3FD8748D"/>
    <w:multiLevelType w:val="hybridMultilevel"/>
    <w:tmpl w:val="2B8E606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54F454D8"/>
    <w:multiLevelType w:val="hybridMultilevel"/>
    <w:tmpl w:val="435CA6A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D7956"/>
    <w:multiLevelType w:val="multilevel"/>
    <w:tmpl w:val="C0563780"/>
    <w:lvl w:ilvl="0">
      <w:start w:val="1"/>
      <w:numFmt w:val="bullet"/>
      <w:lvlText w:val=""/>
      <w:lvlJc w:val="left"/>
      <w:pPr>
        <w:ind w:left="360" w:hanging="360"/>
      </w:pPr>
      <w:rPr>
        <w:rFonts w:ascii="Symbol" w:hAnsi="Symbol" w:hint="default"/>
        <w:b/>
      </w:rPr>
    </w:lvl>
    <w:lvl w:ilvl="1">
      <w:start w:val="1"/>
      <w:numFmt w:val="bullet"/>
      <w:lvlText w:val=""/>
      <w:lvlJc w:val="left"/>
      <w:pPr>
        <w:ind w:left="502" w:hanging="360"/>
      </w:pPr>
      <w:rPr>
        <w:rFonts w:ascii="Symbol" w:hAnsi="Symbol"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D23DC6"/>
    <w:multiLevelType w:val="multilevel"/>
    <w:tmpl w:val="80C6942E"/>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bullet"/>
      <w:lvlText w:val=""/>
      <w:lvlJc w:val="left"/>
      <w:pPr>
        <w:ind w:left="360" w:hanging="360"/>
      </w:pPr>
      <w:rPr>
        <w:rFonts w:ascii="Symbol" w:hAnsi="Symbol" w:hint="default"/>
      </w:rPr>
    </w:lvl>
  </w:abstractNum>
  <w:abstractNum w:abstractNumId="14" w15:restartNumberingAfterBreak="0">
    <w:nsid w:val="5E1B7ABA"/>
    <w:multiLevelType w:val="multilevel"/>
    <w:tmpl w:val="80C6942E"/>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bullet"/>
      <w:lvlText w:val=""/>
      <w:lvlJc w:val="left"/>
      <w:pPr>
        <w:ind w:left="360" w:hanging="360"/>
      </w:pPr>
      <w:rPr>
        <w:rFonts w:ascii="Symbol" w:hAnsi="Symbol" w:hint="default"/>
      </w:rPr>
    </w:lvl>
  </w:abstractNum>
  <w:abstractNum w:abstractNumId="15" w15:restartNumberingAfterBreak="0">
    <w:nsid w:val="624005B0"/>
    <w:multiLevelType w:val="hybridMultilevel"/>
    <w:tmpl w:val="C4EC44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652A5613"/>
    <w:multiLevelType w:val="hybridMultilevel"/>
    <w:tmpl w:val="9858D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F711A1"/>
    <w:multiLevelType w:val="hybridMultilevel"/>
    <w:tmpl w:val="E3FE10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7DE0194"/>
    <w:multiLevelType w:val="hybridMultilevel"/>
    <w:tmpl w:val="7BACDD5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ACB3200"/>
    <w:multiLevelType w:val="hybridMultilevel"/>
    <w:tmpl w:val="B2F86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00761889">
    <w:abstractNumId w:val="13"/>
  </w:num>
  <w:num w:numId="2" w16cid:durableId="1774470869">
    <w:abstractNumId w:val="18"/>
  </w:num>
  <w:num w:numId="3" w16cid:durableId="1876117765">
    <w:abstractNumId w:val="10"/>
  </w:num>
  <w:num w:numId="4" w16cid:durableId="283342528">
    <w:abstractNumId w:val="7"/>
  </w:num>
  <w:num w:numId="5" w16cid:durableId="46537060">
    <w:abstractNumId w:val="1"/>
  </w:num>
  <w:num w:numId="6" w16cid:durableId="886376123">
    <w:abstractNumId w:val="17"/>
  </w:num>
  <w:num w:numId="7" w16cid:durableId="1017195602">
    <w:abstractNumId w:val="6"/>
  </w:num>
  <w:num w:numId="8" w16cid:durableId="257446672">
    <w:abstractNumId w:val="0"/>
  </w:num>
  <w:num w:numId="9" w16cid:durableId="1516189136">
    <w:abstractNumId w:val="5"/>
  </w:num>
  <w:num w:numId="10" w16cid:durableId="692457871">
    <w:abstractNumId w:val="2"/>
  </w:num>
  <w:num w:numId="11" w16cid:durableId="1506214181">
    <w:abstractNumId w:val="8"/>
  </w:num>
  <w:num w:numId="12" w16cid:durableId="117113601">
    <w:abstractNumId w:val="4"/>
  </w:num>
  <w:num w:numId="13" w16cid:durableId="1037465127">
    <w:abstractNumId w:val="11"/>
  </w:num>
  <w:num w:numId="14" w16cid:durableId="96100780">
    <w:abstractNumId w:val="19"/>
  </w:num>
  <w:num w:numId="15" w16cid:durableId="1745295803">
    <w:abstractNumId w:val="16"/>
  </w:num>
  <w:num w:numId="16" w16cid:durableId="487475420">
    <w:abstractNumId w:val="12"/>
  </w:num>
  <w:num w:numId="17" w16cid:durableId="204635124">
    <w:abstractNumId w:val="3"/>
  </w:num>
  <w:num w:numId="18" w16cid:durableId="2114130876">
    <w:abstractNumId w:val="9"/>
  </w:num>
  <w:num w:numId="19" w16cid:durableId="1549487911">
    <w:abstractNumId w:val="7"/>
  </w:num>
  <w:num w:numId="20" w16cid:durableId="1348097898">
    <w:abstractNumId w:val="7"/>
  </w:num>
  <w:num w:numId="21" w16cid:durableId="1264411136">
    <w:abstractNumId w:val="7"/>
  </w:num>
  <w:num w:numId="22" w16cid:durableId="38940169">
    <w:abstractNumId w:val="7"/>
  </w:num>
  <w:num w:numId="23" w16cid:durableId="1877041619">
    <w:abstractNumId w:val="7"/>
  </w:num>
  <w:num w:numId="24" w16cid:durableId="2035421714">
    <w:abstractNumId w:val="7"/>
  </w:num>
  <w:num w:numId="25" w16cid:durableId="1284077181">
    <w:abstractNumId w:val="7"/>
  </w:num>
  <w:num w:numId="26" w16cid:durableId="1793936829">
    <w:abstractNumId w:val="7"/>
  </w:num>
  <w:num w:numId="27" w16cid:durableId="1468888668">
    <w:abstractNumId w:val="7"/>
  </w:num>
  <w:num w:numId="28" w16cid:durableId="835531921">
    <w:abstractNumId w:val="7"/>
  </w:num>
  <w:num w:numId="29" w16cid:durableId="498153606">
    <w:abstractNumId w:val="7"/>
  </w:num>
  <w:num w:numId="30" w16cid:durableId="65693156">
    <w:abstractNumId w:val="7"/>
  </w:num>
  <w:num w:numId="31" w16cid:durableId="565839574">
    <w:abstractNumId w:val="7"/>
  </w:num>
  <w:num w:numId="32" w16cid:durableId="715352609">
    <w:abstractNumId w:val="7"/>
  </w:num>
  <w:num w:numId="33" w16cid:durableId="95445576">
    <w:abstractNumId w:val="7"/>
  </w:num>
  <w:num w:numId="34" w16cid:durableId="1990204527">
    <w:abstractNumId w:val="7"/>
  </w:num>
  <w:num w:numId="35" w16cid:durableId="30693778">
    <w:abstractNumId w:val="7"/>
  </w:num>
  <w:num w:numId="36" w16cid:durableId="571349082">
    <w:abstractNumId w:val="7"/>
  </w:num>
  <w:num w:numId="37" w16cid:durableId="341469715">
    <w:abstractNumId w:val="14"/>
  </w:num>
  <w:num w:numId="38" w16cid:durableId="1208831720">
    <w:abstractNumId w:val="7"/>
  </w:num>
  <w:num w:numId="39" w16cid:durableId="1273247042">
    <w:abstractNumId w:val="15"/>
  </w:num>
  <w:num w:numId="40" w16cid:durableId="570116223">
    <w:abstractNumId w:val="7"/>
  </w:num>
  <w:num w:numId="41" w16cid:durableId="171850627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BBD"/>
    <w:rsid w:val="00003DAE"/>
    <w:rsid w:val="0000537E"/>
    <w:rsid w:val="00005C86"/>
    <w:rsid w:val="00012717"/>
    <w:rsid w:val="000132D2"/>
    <w:rsid w:val="00013A6B"/>
    <w:rsid w:val="00014230"/>
    <w:rsid w:val="000238E2"/>
    <w:rsid w:val="00024F58"/>
    <w:rsid w:val="00026353"/>
    <w:rsid w:val="0003626A"/>
    <w:rsid w:val="00036332"/>
    <w:rsid w:val="000373AD"/>
    <w:rsid w:val="000373F6"/>
    <w:rsid w:val="00037AC7"/>
    <w:rsid w:val="00043467"/>
    <w:rsid w:val="000461B1"/>
    <w:rsid w:val="00051E4E"/>
    <w:rsid w:val="000533E4"/>
    <w:rsid w:val="0005699A"/>
    <w:rsid w:val="000611CB"/>
    <w:rsid w:val="000623DF"/>
    <w:rsid w:val="00062991"/>
    <w:rsid w:val="00065957"/>
    <w:rsid w:val="00070134"/>
    <w:rsid w:val="00070540"/>
    <w:rsid w:val="00071D8A"/>
    <w:rsid w:val="00085F48"/>
    <w:rsid w:val="000905AC"/>
    <w:rsid w:val="000A3A5E"/>
    <w:rsid w:val="000B0E3C"/>
    <w:rsid w:val="000B0F38"/>
    <w:rsid w:val="000B4FE9"/>
    <w:rsid w:val="000C3B13"/>
    <w:rsid w:val="000C4F3F"/>
    <w:rsid w:val="000C7457"/>
    <w:rsid w:val="000D3A69"/>
    <w:rsid w:val="000D56BE"/>
    <w:rsid w:val="000D7168"/>
    <w:rsid w:val="000E0232"/>
    <w:rsid w:val="000E356C"/>
    <w:rsid w:val="000E78A3"/>
    <w:rsid w:val="000F529C"/>
    <w:rsid w:val="000F5EC9"/>
    <w:rsid w:val="000F6590"/>
    <w:rsid w:val="00110C96"/>
    <w:rsid w:val="00110FCC"/>
    <w:rsid w:val="00111B7B"/>
    <w:rsid w:val="001128DF"/>
    <w:rsid w:val="001151CC"/>
    <w:rsid w:val="001238E3"/>
    <w:rsid w:val="00125268"/>
    <w:rsid w:val="001323D1"/>
    <w:rsid w:val="001341C8"/>
    <w:rsid w:val="00136385"/>
    <w:rsid w:val="00140682"/>
    <w:rsid w:val="00140C74"/>
    <w:rsid w:val="00146579"/>
    <w:rsid w:val="00150B2F"/>
    <w:rsid w:val="00154374"/>
    <w:rsid w:val="0015525D"/>
    <w:rsid w:val="00165E1B"/>
    <w:rsid w:val="00165ED3"/>
    <w:rsid w:val="001669BF"/>
    <w:rsid w:val="00170A9B"/>
    <w:rsid w:val="00171750"/>
    <w:rsid w:val="001769EC"/>
    <w:rsid w:val="00187259"/>
    <w:rsid w:val="00187E63"/>
    <w:rsid w:val="00192DE9"/>
    <w:rsid w:val="00193954"/>
    <w:rsid w:val="00195E76"/>
    <w:rsid w:val="001A1E96"/>
    <w:rsid w:val="001A1F88"/>
    <w:rsid w:val="001A36F7"/>
    <w:rsid w:val="001A4756"/>
    <w:rsid w:val="001B00BB"/>
    <w:rsid w:val="001B5ED2"/>
    <w:rsid w:val="001B679D"/>
    <w:rsid w:val="001B6B2C"/>
    <w:rsid w:val="001B6C56"/>
    <w:rsid w:val="001C4AC7"/>
    <w:rsid w:val="001C51F8"/>
    <w:rsid w:val="001D04AD"/>
    <w:rsid w:val="001D2072"/>
    <w:rsid w:val="001D6751"/>
    <w:rsid w:val="001E0D78"/>
    <w:rsid w:val="001E21AF"/>
    <w:rsid w:val="001E472E"/>
    <w:rsid w:val="001E59C2"/>
    <w:rsid w:val="001F0712"/>
    <w:rsid w:val="001F119F"/>
    <w:rsid w:val="001F16C7"/>
    <w:rsid w:val="001F333A"/>
    <w:rsid w:val="001F7E30"/>
    <w:rsid w:val="0020121F"/>
    <w:rsid w:val="00201540"/>
    <w:rsid w:val="002124BC"/>
    <w:rsid w:val="00213C2C"/>
    <w:rsid w:val="0022337A"/>
    <w:rsid w:val="0022384D"/>
    <w:rsid w:val="00224885"/>
    <w:rsid w:val="00226210"/>
    <w:rsid w:val="00227D7C"/>
    <w:rsid w:val="00231C80"/>
    <w:rsid w:val="00234289"/>
    <w:rsid w:val="00240038"/>
    <w:rsid w:val="00244E86"/>
    <w:rsid w:val="002469EB"/>
    <w:rsid w:val="0025021B"/>
    <w:rsid w:val="002537FF"/>
    <w:rsid w:val="00254659"/>
    <w:rsid w:val="00262512"/>
    <w:rsid w:val="00262FCE"/>
    <w:rsid w:val="00263587"/>
    <w:rsid w:val="002640F7"/>
    <w:rsid w:val="00267D3E"/>
    <w:rsid w:val="00270BE0"/>
    <w:rsid w:val="00270D0A"/>
    <w:rsid w:val="00273B1D"/>
    <w:rsid w:val="002754FA"/>
    <w:rsid w:val="00275861"/>
    <w:rsid w:val="00275E49"/>
    <w:rsid w:val="002818A4"/>
    <w:rsid w:val="00283AFB"/>
    <w:rsid w:val="00285C9B"/>
    <w:rsid w:val="00290299"/>
    <w:rsid w:val="002908D6"/>
    <w:rsid w:val="002948F2"/>
    <w:rsid w:val="00295D52"/>
    <w:rsid w:val="002962E1"/>
    <w:rsid w:val="0029688B"/>
    <w:rsid w:val="002A1151"/>
    <w:rsid w:val="002A66A7"/>
    <w:rsid w:val="002B4BCD"/>
    <w:rsid w:val="002B4BD0"/>
    <w:rsid w:val="002B4D06"/>
    <w:rsid w:val="002B681F"/>
    <w:rsid w:val="002C09B3"/>
    <w:rsid w:val="002C3261"/>
    <w:rsid w:val="002C48EE"/>
    <w:rsid w:val="002D053B"/>
    <w:rsid w:val="002D11AC"/>
    <w:rsid w:val="002D1871"/>
    <w:rsid w:val="002D1AFB"/>
    <w:rsid w:val="002D563C"/>
    <w:rsid w:val="002E4B2A"/>
    <w:rsid w:val="002F1516"/>
    <w:rsid w:val="002F1A0D"/>
    <w:rsid w:val="002F4E77"/>
    <w:rsid w:val="002F5374"/>
    <w:rsid w:val="002F5779"/>
    <w:rsid w:val="002F6438"/>
    <w:rsid w:val="002F7A27"/>
    <w:rsid w:val="00300BFA"/>
    <w:rsid w:val="00304A25"/>
    <w:rsid w:val="00307648"/>
    <w:rsid w:val="003077F0"/>
    <w:rsid w:val="003106CC"/>
    <w:rsid w:val="00312FEE"/>
    <w:rsid w:val="00314A86"/>
    <w:rsid w:val="00315F97"/>
    <w:rsid w:val="00321B62"/>
    <w:rsid w:val="00324919"/>
    <w:rsid w:val="003250A6"/>
    <w:rsid w:val="003325C1"/>
    <w:rsid w:val="00336CAA"/>
    <w:rsid w:val="003462F2"/>
    <w:rsid w:val="00350519"/>
    <w:rsid w:val="00352260"/>
    <w:rsid w:val="003542A0"/>
    <w:rsid w:val="0036036B"/>
    <w:rsid w:val="0036378F"/>
    <w:rsid w:val="00364FBE"/>
    <w:rsid w:val="0037003D"/>
    <w:rsid w:val="00370C9D"/>
    <w:rsid w:val="003732A2"/>
    <w:rsid w:val="0037383A"/>
    <w:rsid w:val="003739A1"/>
    <w:rsid w:val="003750CE"/>
    <w:rsid w:val="00377B44"/>
    <w:rsid w:val="00382E00"/>
    <w:rsid w:val="003864D9"/>
    <w:rsid w:val="00387531"/>
    <w:rsid w:val="00390335"/>
    <w:rsid w:val="0039109E"/>
    <w:rsid w:val="00392EA2"/>
    <w:rsid w:val="00395150"/>
    <w:rsid w:val="0039586F"/>
    <w:rsid w:val="0039609F"/>
    <w:rsid w:val="00396FAF"/>
    <w:rsid w:val="003A22FF"/>
    <w:rsid w:val="003A4076"/>
    <w:rsid w:val="003A52AE"/>
    <w:rsid w:val="003B0568"/>
    <w:rsid w:val="003B41A9"/>
    <w:rsid w:val="003B4BEF"/>
    <w:rsid w:val="003B60C8"/>
    <w:rsid w:val="003C139D"/>
    <w:rsid w:val="003C33DD"/>
    <w:rsid w:val="003C4ABB"/>
    <w:rsid w:val="003C6753"/>
    <w:rsid w:val="003E066F"/>
    <w:rsid w:val="003E1511"/>
    <w:rsid w:val="003E1976"/>
    <w:rsid w:val="003F2994"/>
    <w:rsid w:val="003F4BFC"/>
    <w:rsid w:val="003F6155"/>
    <w:rsid w:val="003F67EE"/>
    <w:rsid w:val="003F7068"/>
    <w:rsid w:val="003F76F1"/>
    <w:rsid w:val="00404C40"/>
    <w:rsid w:val="00405548"/>
    <w:rsid w:val="0040776D"/>
    <w:rsid w:val="00411BA8"/>
    <w:rsid w:val="00412DC0"/>
    <w:rsid w:val="004203A3"/>
    <w:rsid w:val="004253B3"/>
    <w:rsid w:val="00426B12"/>
    <w:rsid w:val="00430324"/>
    <w:rsid w:val="00433D36"/>
    <w:rsid w:val="0043515E"/>
    <w:rsid w:val="00440007"/>
    <w:rsid w:val="00441CFC"/>
    <w:rsid w:val="0045777E"/>
    <w:rsid w:val="00461611"/>
    <w:rsid w:val="00467B95"/>
    <w:rsid w:val="004700BC"/>
    <w:rsid w:val="004701EB"/>
    <w:rsid w:val="00481A07"/>
    <w:rsid w:val="00482F07"/>
    <w:rsid w:val="00484825"/>
    <w:rsid w:val="004849D3"/>
    <w:rsid w:val="00491322"/>
    <w:rsid w:val="00491E33"/>
    <w:rsid w:val="00492DDC"/>
    <w:rsid w:val="00493C60"/>
    <w:rsid w:val="00494C25"/>
    <w:rsid w:val="004A20E6"/>
    <w:rsid w:val="004A2DA6"/>
    <w:rsid w:val="004A4678"/>
    <w:rsid w:val="004A651D"/>
    <w:rsid w:val="004A6724"/>
    <w:rsid w:val="004B0232"/>
    <w:rsid w:val="004B37F6"/>
    <w:rsid w:val="004B50BC"/>
    <w:rsid w:val="004B6634"/>
    <w:rsid w:val="004C0ACD"/>
    <w:rsid w:val="004C165A"/>
    <w:rsid w:val="004C1FEF"/>
    <w:rsid w:val="004C26BE"/>
    <w:rsid w:val="004C77FF"/>
    <w:rsid w:val="004D1C79"/>
    <w:rsid w:val="004D4719"/>
    <w:rsid w:val="004D4AEB"/>
    <w:rsid w:val="004D6801"/>
    <w:rsid w:val="004E0983"/>
    <w:rsid w:val="004E2EA0"/>
    <w:rsid w:val="004E73B7"/>
    <w:rsid w:val="004E7679"/>
    <w:rsid w:val="00500209"/>
    <w:rsid w:val="005169E6"/>
    <w:rsid w:val="00516F8F"/>
    <w:rsid w:val="00517DAC"/>
    <w:rsid w:val="00523CDF"/>
    <w:rsid w:val="00526755"/>
    <w:rsid w:val="005268D4"/>
    <w:rsid w:val="00526FE7"/>
    <w:rsid w:val="00527A2B"/>
    <w:rsid w:val="00530B1E"/>
    <w:rsid w:val="005319B9"/>
    <w:rsid w:val="005410D6"/>
    <w:rsid w:val="00541B8A"/>
    <w:rsid w:val="00544918"/>
    <w:rsid w:val="0054653C"/>
    <w:rsid w:val="00547EF0"/>
    <w:rsid w:val="00552E5E"/>
    <w:rsid w:val="00553059"/>
    <w:rsid w:val="00553C38"/>
    <w:rsid w:val="00553CED"/>
    <w:rsid w:val="00553D95"/>
    <w:rsid w:val="005602D3"/>
    <w:rsid w:val="00565C24"/>
    <w:rsid w:val="005729C7"/>
    <w:rsid w:val="00573CAC"/>
    <w:rsid w:val="00575CCD"/>
    <w:rsid w:val="00576432"/>
    <w:rsid w:val="0059718C"/>
    <w:rsid w:val="005A697D"/>
    <w:rsid w:val="005A69B3"/>
    <w:rsid w:val="005A7346"/>
    <w:rsid w:val="005A73F6"/>
    <w:rsid w:val="005B037D"/>
    <w:rsid w:val="005B1DFF"/>
    <w:rsid w:val="005B3222"/>
    <w:rsid w:val="005C300B"/>
    <w:rsid w:val="005C47D2"/>
    <w:rsid w:val="005C5A09"/>
    <w:rsid w:val="005D15E4"/>
    <w:rsid w:val="005D20C0"/>
    <w:rsid w:val="005D6891"/>
    <w:rsid w:val="005E3734"/>
    <w:rsid w:val="005E4252"/>
    <w:rsid w:val="005E43BD"/>
    <w:rsid w:val="005E48F7"/>
    <w:rsid w:val="005E6D1C"/>
    <w:rsid w:val="005F493A"/>
    <w:rsid w:val="006018E3"/>
    <w:rsid w:val="0060562D"/>
    <w:rsid w:val="0060743F"/>
    <w:rsid w:val="006160A5"/>
    <w:rsid w:val="00616844"/>
    <w:rsid w:val="00617B14"/>
    <w:rsid w:val="006219E5"/>
    <w:rsid w:val="00625BAA"/>
    <w:rsid w:val="0063034C"/>
    <w:rsid w:val="0063251B"/>
    <w:rsid w:val="00633C12"/>
    <w:rsid w:val="00634935"/>
    <w:rsid w:val="006368EE"/>
    <w:rsid w:val="00640486"/>
    <w:rsid w:val="00646929"/>
    <w:rsid w:val="00652AED"/>
    <w:rsid w:val="00652CC6"/>
    <w:rsid w:val="006542E3"/>
    <w:rsid w:val="006550E5"/>
    <w:rsid w:val="00656098"/>
    <w:rsid w:val="00656BE0"/>
    <w:rsid w:val="00656BEF"/>
    <w:rsid w:val="006579EE"/>
    <w:rsid w:val="00662F55"/>
    <w:rsid w:val="0066665C"/>
    <w:rsid w:val="006678EE"/>
    <w:rsid w:val="0067330A"/>
    <w:rsid w:val="00682AFD"/>
    <w:rsid w:val="0068319C"/>
    <w:rsid w:val="006836AA"/>
    <w:rsid w:val="006857DC"/>
    <w:rsid w:val="00685A96"/>
    <w:rsid w:val="00697115"/>
    <w:rsid w:val="006A33D4"/>
    <w:rsid w:val="006A5D4D"/>
    <w:rsid w:val="006A5E56"/>
    <w:rsid w:val="006A5EE1"/>
    <w:rsid w:val="006A6087"/>
    <w:rsid w:val="006C0C6E"/>
    <w:rsid w:val="006C1FEE"/>
    <w:rsid w:val="006C276C"/>
    <w:rsid w:val="006C5B81"/>
    <w:rsid w:val="006C7969"/>
    <w:rsid w:val="006D2180"/>
    <w:rsid w:val="006D2B53"/>
    <w:rsid w:val="006D2E30"/>
    <w:rsid w:val="006D3823"/>
    <w:rsid w:val="006D4D5C"/>
    <w:rsid w:val="006E19AD"/>
    <w:rsid w:val="006E2A9D"/>
    <w:rsid w:val="006E6B9D"/>
    <w:rsid w:val="006F1C3F"/>
    <w:rsid w:val="006F585C"/>
    <w:rsid w:val="007052DA"/>
    <w:rsid w:val="00721534"/>
    <w:rsid w:val="00724056"/>
    <w:rsid w:val="0072501E"/>
    <w:rsid w:val="00725CDB"/>
    <w:rsid w:val="00727C28"/>
    <w:rsid w:val="00735BDA"/>
    <w:rsid w:val="007361A2"/>
    <w:rsid w:val="00742478"/>
    <w:rsid w:val="00743028"/>
    <w:rsid w:val="007432E6"/>
    <w:rsid w:val="00746705"/>
    <w:rsid w:val="00751AFB"/>
    <w:rsid w:val="00752D8E"/>
    <w:rsid w:val="007559CF"/>
    <w:rsid w:val="00763542"/>
    <w:rsid w:val="00765956"/>
    <w:rsid w:val="00765EB3"/>
    <w:rsid w:val="00767E5E"/>
    <w:rsid w:val="007741D9"/>
    <w:rsid w:val="0077455A"/>
    <w:rsid w:val="00775595"/>
    <w:rsid w:val="00775A71"/>
    <w:rsid w:val="007761C6"/>
    <w:rsid w:val="00776A53"/>
    <w:rsid w:val="00777AA9"/>
    <w:rsid w:val="00780913"/>
    <w:rsid w:val="00797049"/>
    <w:rsid w:val="007A1163"/>
    <w:rsid w:val="007A7206"/>
    <w:rsid w:val="007B7296"/>
    <w:rsid w:val="007B7322"/>
    <w:rsid w:val="007C419B"/>
    <w:rsid w:val="007D1854"/>
    <w:rsid w:val="007D26DD"/>
    <w:rsid w:val="007D5863"/>
    <w:rsid w:val="007E0AE6"/>
    <w:rsid w:val="007E2EF8"/>
    <w:rsid w:val="007F05C3"/>
    <w:rsid w:val="007F78DE"/>
    <w:rsid w:val="0080076E"/>
    <w:rsid w:val="008028DF"/>
    <w:rsid w:val="00804460"/>
    <w:rsid w:val="008060D0"/>
    <w:rsid w:val="00812F1B"/>
    <w:rsid w:val="008159F9"/>
    <w:rsid w:val="00816ADB"/>
    <w:rsid w:val="00816B32"/>
    <w:rsid w:val="008230FB"/>
    <w:rsid w:val="00826477"/>
    <w:rsid w:val="00827BBD"/>
    <w:rsid w:val="00832AC6"/>
    <w:rsid w:val="008353B2"/>
    <w:rsid w:val="0083718E"/>
    <w:rsid w:val="008458D8"/>
    <w:rsid w:val="008478A8"/>
    <w:rsid w:val="00847A3D"/>
    <w:rsid w:val="00853A2E"/>
    <w:rsid w:val="00854A1A"/>
    <w:rsid w:val="00855394"/>
    <w:rsid w:val="00856A31"/>
    <w:rsid w:val="00865946"/>
    <w:rsid w:val="0087524F"/>
    <w:rsid w:val="008767CE"/>
    <w:rsid w:val="00881EEA"/>
    <w:rsid w:val="0088267C"/>
    <w:rsid w:val="0089151A"/>
    <w:rsid w:val="00894FD8"/>
    <w:rsid w:val="00896DDD"/>
    <w:rsid w:val="00897369"/>
    <w:rsid w:val="008A3856"/>
    <w:rsid w:val="008A57C1"/>
    <w:rsid w:val="008A6A84"/>
    <w:rsid w:val="008A7B3B"/>
    <w:rsid w:val="008B2836"/>
    <w:rsid w:val="008B5595"/>
    <w:rsid w:val="008B689C"/>
    <w:rsid w:val="008C00C3"/>
    <w:rsid w:val="008C1FA2"/>
    <w:rsid w:val="008C352D"/>
    <w:rsid w:val="008C3DFC"/>
    <w:rsid w:val="008C55BA"/>
    <w:rsid w:val="008C64A9"/>
    <w:rsid w:val="008C7FCA"/>
    <w:rsid w:val="008D347C"/>
    <w:rsid w:val="008D633E"/>
    <w:rsid w:val="008D6C29"/>
    <w:rsid w:val="008E167B"/>
    <w:rsid w:val="008E4504"/>
    <w:rsid w:val="008E4C99"/>
    <w:rsid w:val="008E5CB6"/>
    <w:rsid w:val="008E75D2"/>
    <w:rsid w:val="008F2616"/>
    <w:rsid w:val="00905443"/>
    <w:rsid w:val="00905BDB"/>
    <w:rsid w:val="00906CA2"/>
    <w:rsid w:val="009070C1"/>
    <w:rsid w:val="0091233B"/>
    <w:rsid w:val="00915617"/>
    <w:rsid w:val="009222F9"/>
    <w:rsid w:val="009224D5"/>
    <w:rsid w:val="009227F0"/>
    <w:rsid w:val="00923307"/>
    <w:rsid w:val="00925812"/>
    <w:rsid w:val="00930BEC"/>
    <w:rsid w:val="00930D68"/>
    <w:rsid w:val="0093413F"/>
    <w:rsid w:val="00937C65"/>
    <w:rsid w:val="00941F21"/>
    <w:rsid w:val="00942485"/>
    <w:rsid w:val="00942EA0"/>
    <w:rsid w:val="00943EF3"/>
    <w:rsid w:val="00945299"/>
    <w:rsid w:val="00946D2F"/>
    <w:rsid w:val="00960776"/>
    <w:rsid w:val="00963C5E"/>
    <w:rsid w:val="00966158"/>
    <w:rsid w:val="009668ED"/>
    <w:rsid w:val="00970D56"/>
    <w:rsid w:val="009714F8"/>
    <w:rsid w:val="00971AC4"/>
    <w:rsid w:val="009737C1"/>
    <w:rsid w:val="009746B5"/>
    <w:rsid w:val="00980BF1"/>
    <w:rsid w:val="00983C50"/>
    <w:rsid w:val="00984335"/>
    <w:rsid w:val="00987DD6"/>
    <w:rsid w:val="009910F4"/>
    <w:rsid w:val="00992215"/>
    <w:rsid w:val="00992F27"/>
    <w:rsid w:val="009A0038"/>
    <w:rsid w:val="009A1E4B"/>
    <w:rsid w:val="009A2D2E"/>
    <w:rsid w:val="009A6995"/>
    <w:rsid w:val="009B2966"/>
    <w:rsid w:val="009B2B20"/>
    <w:rsid w:val="009B44A5"/>
    <w:rsid w:val="009C00A3"/>
    <w:rsid w:val="009C1804"/>
    <w:rsid w:val="009C1C5A"/>
    <w:rsid w:val="009C2708"/>
    <w:rsid w:val="009C2FC9"/>
    <w:rsid w:val="009D33D0"/>
    <w:rsid w:val="009D48F6"/>
    <w:rsid w:val="009D61F0"/>
    <w:rsid w:val="009E08E9"/>
    <w:rsid w:val="009E5198"/>
    <w:rsid w:val="009E5E07"/>
    <w:rsid w:val="009F0663"/>
    <w:rsid w:val="009F2776"/>
    <w:rsid w:val="009F5BF3"/>
    <w:rsid w:val="00A00028"/>
    <w:rsid w:val="00A01948"/>
    <w:rsid w:val="00A03A19"/>
    <w:rsid w:val="00A14128"/>
    <w:rsid w:val="00A172A5"/>
    <w:rsid w:val="00A22B6C"/>
    <w:rsid w:val="00A31A7C"/>
    <w:rsid w:val="00A426F8"/>
    <w:rsid w:val="00A42D7C"/>
    <w:rsid w:val="00A4323F"/>
    <w:rsid w:val="00A44C12"/>
    <w:rsid w:val="00A465FE"/>
    <w:rsid w:val="00A476EB"/>
    <w:rsid w:val="00A47FDD"/>
    <w:rsid w:val="00A578E2"/>
    <w:rsid w:val="00A72D27"/>
    <w:rsid w:val="00A73190"/>
    <w:rsid w:val="00A74F76"/>
    <w:rsid w:val="00A750C2"/>
    <w:rsid w:val="00A761D8"/>
    <w:rsid w:val="00A76DD2"/>
    <w:rsid w:val="00A82A06"/>
    <w:rsid w:val="00A91358"/>
    <w:rsid w:val="00A92C66"/>
    <w:rsid w:val="00A9428E"/>
    <w:rsid w:val="00A95E91"/>
    <w:rsid w:val="00AA059C"/>
    <w:rsid w:val="00AA0E95"/>
    <w:rsid w:val="00AA587C"/>
    <w:rsid w:val="00AA7138"/>
    <w:rsid w:val="00AC0063"/>
    <w:rsid w:val="00AC2F67"/>
    <w:rsid w:val="00AC3F8E"/>
    <w:rsid w:val="00AC69CE"/>
    <w:rsid w:val="00AD3CCB"/>
    <w:rsid w:val="00AD5B86"/>
    <w:rsid w:val="00AE1A5D"/>
    <w:rsid w:val="00AE7368"/>
    <w:rsid w:val="00AF0FDF"/>
    <w:rsid w:val="00AF2AC9"/>
    <w:rsid w:val="00AF4722"/>
    <w:rsid w:val="00B010C0"/>
    <w:rsid w:val="00B02743"/>
    <w:rsid w:val="00B029A1"/>
    <w:rsid w:val="00B05161"/>
    <w:rsid w:val="00B06035"/>
    <w:rsid w:val="00B07102"/>
    <w:rsid w:val="00B11A6E"/>
    <w:rsid w:val="00B16248"/>
    <w:rsid w:val="00B16C46"/>
    <w:rsid w:val="00B17692"/>
    <w:rsid w:val="00B25A5D"/>
    <w:rsid w:val="00B263F0"/>
    <w:rsid w:val="00B30E2C"/>
    <w:rsid w:val="00B31496"/>
    <w:rsid w:val="00B3717D"/>
    <w:rsid w:val="00B37453"/>
    <w:rsid w:val="00B377B7"/>
    <w:rsid w:val="00B42F0E"/>
    <w:rsid w:val="00B445E0"/>
    <w:rsid w:val="00B4656F"/>
    <w:rsid w:val="00B504CD"/>
    <w:rsid w:val="00B55D37"/>
    <w:rsid w:val="00B55EB8"/>
    <w:rsid w:val="00B57500"/>
    <w:rsid w:val="00B601BD"/>
    <w:rsid w:val="00B616CE"/>
    <w:rsid w:val="00B721A7"/>
    <w:rsid w:val="00B73239"/>
    <w:rsid w:val="00B74305"/>
    <w:rsid w:val="00B75EAB"/>
    <w:rsid w:val="00B76C31"/>
    <w:rsid w:val="00B82EC2"/>
    <w:rsid w:val="00B849EB"/>
    <w:rsid w:val="00B85849"/>
    <w:rsid w:val="00B85997"/>
    <w:rsid w:val="00B92269"/>
    <w:rsid w:val="00BA0A47"/>
    <w:rsid w:val="00BA6D2D"/>
    <w:rsid w:val="00BB59B2"/>
    <w:rsid w:val="00BC12BB"/>
    <w:rsid w:val="00BC2BE1"/>
    <w:rsid w:val="00BC775C"/>
    <w:rsid w:val="00BD0E5B"/>
    <w:rsid w:val="00BD157F"/>
    <w:rsid w:val="00BD66B2"/>
    <w:rsid w:val="00BE0D7C"/>
    <w:rsid w:val="00BE2561"/>
    <w:rsid w:val="00BE6DD7"/>
    <w:rsid w:val="00BF3433"/>
    <w:rsid w:val="00BF3AE8"/>
    <w:rsid w:val="00BF3EB0"/>
    <w:rsid w:val="00BF6574"/>
    <w:rsid w:val="00BF6B98"/>
    <w:rsid w:val="00C005C6"/>
    <w:rsid w:val="00C020D9"/>
    <w:rsid w:val="00C04A01"/>
    <w:rsid w:val="00C07CCB"/>
    <w:rsid w:val="00C10EAC"/>
    <w:rsid w:val="00C14E14"/>
    <w:rsid w:val="00C15B6F"/>
    <w:rsid w:val="00C16A2B"/>
    <w:rsid w:val="00C179D7"/>
    <w:rsid w:val="00C27EF0"/>
    <w:rsid w:val="00C31FA3"/>
    <w:rsid w:val="00C32CA5"/>
    <w:rsid w:val="00C37B2D"/>
    <w:rsid w:val="00C40127"/>
    <w:rsid w:val="00C40453"/>
    <w:rsid w:val="00C47A86"/>
    <w:rsid w:val="00C51B46"/>
    <w:rsid w:val="00C53BAD"/>
    <w:rsid w:val="00C5510C"/>
    <w:rsid w:val="00C57621"/>
    <w:rsid w:val="00C60175"/>
    <w:rsid w:val="00C63299"/>
    <w:rsid w:val="00C7009C"/>
    <w:rsid w:val="00C70A1C"/>
    <w:rsid w:val="00C73887"/>
    <w:rsid w:val="00C76174"/>
    <w:rsid w:val="00C76700"/>
    <w:rsid w:val="00C800F3"/>
    <w:rsid w:val="00C9160C"/>
    <w:rsid w:val="00C93801"/>
    <w:rsid w:val="00C940AA"/>
    <w:rsid w:val="00C94E49"/>
    <w:rsid w:val="00C967F7"/>
    <w:rsid w:val="00C975B7"/>
    <w:rsid w:val="00CA078E"/>
    <w:rsid w:val="00CA34DE"/>
    <w:rsid w:val="00CB4B32"/>
    <w:rsid w:val="00CB4C1F"/>
    <w:rsid w:val="00CB689E"/>
    <w:rsid w:val="00CB6C66"/>
    <w:rsid w:val="00CB7DAA"/>
    <w:rsid w:val="00CC3329"/>
    <w:rsid w:val="00CC5A6F"/>
    <w:rsid w:val="00CD047D"/>
    <w:rsid w:val="00CD3561"/>
    <w:rsid w:val="00CD6241"/>
    <w:rsid w:val="00CD75D2"/>
    <w:rsid w:val="00CE07E1"/>
    <w:rsid w:val="00CE10E2"/>
    <w:rsid w:val="00CE21A6"/>
    <w:rsid w:val="00CE3547"/>
    <w:rsid w:val="00CE4400"/>
    <w:rsid w:val="00CE75A9"/>
    <w:rsid w:val="00CF0EC8"/>
    <w:rsid w:val="00CF219C"/>
    <w:rsid w:val="00CF4F46"/>
    <w:rsid w:val="00CF4FAB"/>
    <w:rsid w:val="00D00047"/>
    <w:rsid w:val="00D01563"/>
    <w:rsid w:val="00D036A0"/>
    <w:rsid w:val="00D044F3"/>
    <w:rsid w:val="00D04AE1"/>
    <w:rsid w:val="00D06C38"/>
    <w:rsid w:val="00D07641"/>
    <w:rsid w:val="00D11F31"/>
    <w:rsid w:val="00D121A0"/>
    <w:rsid w:val="00D1257A"/>
    <w:rsid w:val="00D12AC9"/>
    <w:rsid w:val="00D2158A"/>
    <w:rsid w:val="00D22732"/>
    <w:rsid w:val="00D30D41"/>
    <w:rsid w:val="00D30D78"/>
    <w:rsid w:val="00D3734B"/>
    <w:rsid w:val="00D37493"/>
    <w:rsid w:val="00D41DF9"/>
    <w:rsid w:val="00D44A20"/>
    <w:rsid w:val="00D45FD7"/>
    <w:rsid w:val="00D50088"/>
    <w:rsid w:val="00D555FA"/>
    <w:rsid w:val="00D56248"/>
    <w:rsid w:val="00D567C5"/>
    <w:rsid w:val="00D57777"/>
    <w:rsid w:val="00D61934"/>
    <w:rsid w:val="00D667A6"/>
    <w:rsid w:val="00D71E59"/>
    <w:rsid w:val="00D72225"/>
    <w:rsid w:val="00D74449"/>
    <w:rsid w:val="00D84C4E"/>
    <w:rsid w:val="00D84E67"/>
    <w:rsid w:val="00D869DD"/>
    <w:rsid w:val="00D87138"/>
    <w:rsid w:val="00D87321"/>
    <w:rsid w:val="00D91F57"/>
    <w:rsid w:val="00D94936"/>
    <w:rsid w:val="00D97CB0"/>
    <w:rsid w:val="00DA12AE"/>
    <w:rsid w:val="00DA2841"/>
    <w:rsid w:val="00DA2DB8"/>
    <w:rsid w:val="00DA44CB"/>
    <w:rsid w:val="00DB4EF0"/>
    <w:rsid w:val="00DB6344"/>
    <w:rsid w:val="00DC1059"/>
    <w:rsid w:val="00DC182B"/>
    <w:rsid w:val="00DC2FBF"/>
    <w:rsid w:val="00DC4979"/>
    <w:rsid w:val="00DC5129"/>
    <w:rsid w:val="00DC7F29"/>
    <w:rsid w:val="00DD0E8E"/>
    <w:rsid w:val="00DD3C9C"/>
    <w:rsid w:val="00DD7CC7"/>
    <w:rsid w:val="00DF74CF"/>
    <w:rsid w:val="00E014D9"/>
    <w:rsid w:val="00E018F7"/>
    <w:rsid w:val="00E01986"/>
    <w:rsid w:val="00E063E8"/>
    <w:rsid w:val="00E0753B"/>
    <w:rsid w:val="00E139DF"/>
    <w:rsid w:val="00E158DF"/>
    <w:rsid w:val="00E249F8"/>
    <w:rsid w:val="00E34754"/>
    <w:rsid w:val="00E46FA6"/>
    <w:rsid w:val="00E55AC2"/>
    <w:rsid w:val="00E5649C"/>
    <w:rsid w:val="00E6307D"/>
    <w:rsid w:val="00E63AF1"/>
    <w:rsid w:val="00E65ED8"/>
    <w:rsid w:val="00E66B6A"/>
    <w:rsid w:val="00E670E1"/>
    <w:rsid w:val="00E67E06"/>
    <w:rsid w:val="00E735D9"/>
    <w:rsid w:val="00E82D9B"/>
    <w:rsid w:val="00E84C69"/>
    <w:rsid w:val="00E909F1"/>
    <w:rsid w:val="00E91622"/>
    <w:rsid w:val="00E92D5C"/>
    <w:rsid w:val="00E94308"/>
    <w:rsid w:val="00E95101"/>
    <w:rsid w:val="00E9625A"/>
    <w:rsid w:val="00EA0C12"/>
    <w:rsid w:val="00EA3E71"/>
    <w:rsid w:val="00EA6B62"/>
    <w:rsid w:val="00EA761A"/>
    <w:rsid w:val="00EB1DD8"/>
    <w:rsid w:val="00EB1EA2"/>
    <w:rsid w:val="00EB7D83"/>
    <w:rsid w:val="00EC0584"/>
    <w:rsid w:val="00EC0CC7"/>
    <w:rsid w:val="00EC4C0C"/>
    <w:rsid w:val="00EC6A92"/>
    <w:rsid w:val="00ED1B95"/>
    <w:rsid w:val="00ED1C27"/>
    <w:rsid w:val="00ED318E"/>
    <w:rsid w:val="00ED35E8"/>
    <w:rsid w:val="00ED62A7"/>
    <w:rsid w:val="00EE18D0"/>
    <w:rsid w:val="00EE3140"/>
    <w:rsid w:val="00EE3539"/>
    <w:rsid w:val="00EE3C74"/>
    <w:rsid w:val="00EE6700"/>
    <w:rsid w:val="00EE68FF"/>
    <w:rsid w:val="00EE6BAF"/>
    <w:rsid w:val="00EF06CE"/>
    <w:rsid w:val="00EF1D8D"/>
    <w:rsid w:val="00F0178C"/>
    <w:rsid w:val="00F06564"/>
    <w:rsid w:val="00F10107"/>
    <w:rsid w:val="00F16CC7"/>
    <w:rsid w:val="00F17B81"/>
    <w:rsid w:val="00F2183F"/>
    <w:rsid w:val="00F258AE"/>
    <w:rsid w:val="00F324EA"/>
    <w:rsid w:val="00F33B08"/>
    <w:rsid w:val="00F44113"/>
    <w:rsid w:val="00F4452A"/>
    <w:rsid w:val="00F45339"/>
    <w:rsid w:val="00F61809"/>
    <w:rsid w:val="00F62B08"/>
    <w:rsid w:val="00F645A4"/>
    <w:rsid w:val="00F64B92"/>
    <w:rsid w:val="00F67B87"/>
    <w:rsid w:val="00F67DA9"/>
    <w:rsid w:val="00F708F7"/>
    <w:rsid w:val="00F71C52"/>
    <w:rsid w:val="00F745D0"/>
    <w:rsid w:val="00F74FA6"/>
    <w:rsid w:val="00F76781"/>
    <w:rsid w:val="00F81779"/>
    <w:rsid w:val="00F8193D"/>
    <w:rsid w:val="00F84543"/>
    <w:rsid w:val="00F85BB9"/>
    <w:rsid w:val="00F938F0"/>
    <w:rsid w:val="00F948CE"/>
    <w:rsid w:val="00F9624A"/>
    <w:rsid w:val="00F96EFC"/>
    <w:rsid w:val="00FA3C68"/>
    <w:rsid w:val="00FA4054"/>
    <w:rsid w:val="00FA440D"/>
    <w:rsid w:val="00FA617C"/>
    <w:rsid w:val="00FA6E13"/>
    <w:rsid w:val="00FB0C6E"/>
    <w:rsid w:val="00FB0EF3"/>
    <w:rsid w:val="00FB218E"/>
    <w:rsid w:val="00FB340E"/>
    <w:rsid w:val="00FB348F"/>
    <w:rsid w:val="00FC2631"/>
    <w:rsid w:val="00FC6798"/>
    <w:rsid w:val="00FC6C9E"/>
    <w:rsid w:val="00FD2CDF"/>
    <w:rsid w:val="00FD62D1"/>
    <w:rsid w:val="00FE0C5D"/>
    <w:rsid w:val="00FE0E13"/>
    <w:rsid w:val="00FE1942"/>
    <w:rsid w:val="00FE1C0B"/>
    <w:rsid w:val="00FE26EF"/>
    <w:rsid w:val="00FE435F"/>
    <w:rsid w:val="00FF1233"/>
    <w:rsid w:val="00FF2CA3"/>
    <w:rsid w:val="00FF39E9"/>
    <w:rsid w:val="00FF3CA0"/>
    <w:rsid w:val="00FF4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B29E5"/>
  <w15:chartTrackingRefBased/>
  <w15:docId w15:val="{50E29404-A253-4F28-8048-FF5A1484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EB8"/>
    <w:rPr>
      <w:sz w:val="24"/>
      <w:szCs w:val="24"/>
    </w:rPr>
  </w:style>
  <w:style w:type="paragraph" w:styleId="Heading1">
    <w:name w:val="heading 1"/>
    <w:basedOn w:val="Normal"/>
    <w:next w:val="Normal"/>
    <w:link w:val="Heading1Char"/>
    <w:qFormat/>
    <w:rsid w:val="00AF2AC9"/>
    <w:pPr>
      <w:keepNext/>
      <w:outlineLvl w:val="0"/>
    </w:pPr>
    <w:rPr>
      <w:rFonts w:ascii="Arial" w:hAnsi="Arial"/>
      <w:b/>
      <w:szCs w:val="20"/>
      <w:lang w:eastAsia="en-US"/>
    </w:rPr>
  </w:style>
  <w:style w:type="paragraph" w:styleId="Heading2">
    <w:name w:val="heading 2"/>
    <w:basedOn w:val="Normal"/>
    <w:next w:val="Normal"/>
    <w:link w:val="Heading2Char"/>
    <w:qFormat/>
    <w:rsid w:val="00AF2AC9"/>
    <w:pPr>
      <w:keepNext/>
      <w:numPr>
        <w:numId w:val="4"/>
      </w:numPr>
      <w:outlineLvl w:val="1"/>
    </w:pPr>
    <w:rPr>
      <w:rFonts w:ascii="Arial" w:hAnsi="Arial"/>
      <w:b/>
      <w:szCs w:val="20"/>
      <w:lang w:eastAsia="en-US"/>
    </w:rPr>
  </w:style>
  <w:style w:type="paragraph" w:styleId="Heading3">
    <w:name w:val="heading 3"/>
    <w:basedOn w:val="Normal"/>
    <w:next w:val="Normal"/>
    <w:link w:val="Heading3Char"/>
    <w:qFormat/>
    <w:rsid w:val="00AF2AC9"/>
    <w:pPr>
      <w:keepNext/>
      <w:jc w:val="center"/>
      <w:outlineLvl w:val="2"/>
    </w:pPr>
    <w:rPr>
      <w:rFonts w:ascii="Arial" w:hAnsi="Arial"/>
      <w:b/>
      <w:szCs w:val="20"/>
      <w:lang w:eastAsia="en-US"/>
    </w:rPr>
  </w:style>
  <w:style w:type="paragraph" w:styleId="Heading4">
    <w:name w:val="heading 4"/>
    <w:basedOn w:val="Normal"/>
    <w:next w:val="Normal"/>
    <w:link w:val="Heading4Char"/>
    <w:semiHidden/>
    <w:unhideWhenUsed/>
    <w:qFormat/>
    <w:rsid w:val="00213C2C"/>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4C0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0776D"/>
    <w:pPr>
      <w:ind w:left="720"/>
    </w:pPr>
  </w:style>
  <w:style w:type="character" w:customStyle="1" w:styleId="Heading1Char">
    <w:name w:val="Heading 1 Char"/>
    <w:link w:val="Heading1"/>
    <w:rsid w:val="00AF2AC9"/>
    <w:rPr>
      <w:rFonts w:ascii="Arial" w:hAnsi="Arial"/>
      <w:b/>
      <w:sz w:val="24"/>
      <w:lang w:eastAsia="en-US"/>
    </w:rPr>
  </w:style>
  <w:style w:type="character" w:customStyle="1" w:styleId="Heading2Char">
    <w:name w:val="Heading 2 Char"/>
    <w:link w:val="Heading2"/>
    <w:rsid w:val="00AF2AC9"/>
    <w:rPr>
      <w:rFonts w:ascii="Arial" w:hAnsi="Arial"/>
      <w:b/>
      <w:sz w:val="24"/>
      <w:lang w:eastAsia="en-US"/>
    </w:rPr>
  </w:style>
  <w:style w:type="character" w:customStyle="1" w:styleId="Heading3Char">
    <w:name w:val="Heading 3 Char"/>
    <w:link w:val="Heading3"/>
    <w:rsid w:val="00AF2AC9"/>
    <w:rPr>
      <w:rFonts w:ascii="Arial" w:hAnsi="Arial"/>
      <w:b/>
      <w:sz w:val="24"/>
      <w:lang w:eastAsia="en-US"/>
    </w:rPr>
  </w:style>
  <w:style w:type="character" w:customStyle="1" w:styleId="style51">
    <w:name w:val="style51"/>
    <w:rsid w:val="00AF2AC9"/>
    <w:rPr>
      <w:rFonts w:ascii="Arial" w:hAnsi="Arial" w:cs="Arial" w:hint="default"/>
      <w:sz w:val="36"/>
      <w:szCs w:val="36"/>
    </w:rPr>
  </w:style>
  <w:style w:type="paragraph" w:styleId="Header">
    <w:name w:val="header"/>
    <w:basedOn w:val="Normal"/>
    <w:link w:val="HeaderChar"/>
    <w:rsid w:val="00C76174"/>
    <w:pPr>
      <w:tabs>
        <w:tab w:val="center" w:pos="4513"/>
        <w:tab w:val="right" w:pos="9026"/>
      </w:tabs>
    </w:pPr>
  </w:style>
  <w:style w:type="character" w:customStyle="1" w:styleId="HeaderChar">
    <w:name w:val="Header Char"/>
    <w:link w:val="Header"/>
    <w:rsid w:val="00C76174"/>
    <w:rPr>
      <w:sz w:val="24"/>
      <w:szCs w:val="24"/>
    </w:rPr>
  </w:style>
  <w:style w:type="paragraph" w:styleId="Footer">
    <w:name w:val="footer"/>
    <w:basedOn w:val="Normal"/>
    <w:link w:val="FooterChar"/>
    <w:rsid w:val="00C76174"/>
    <w:pPr>
      <w:tabs>
        <w:tab w:val="center" w:pos="4513"/>
        <w:tab w:val="right" w:pos="9026"/>
      </w:tabs>
    </w:pPr>
  </w:style>
  <w:style w:type="character" w:customStyle="1" w:styleId="FooterChar">
    <w:name w:val="Footer Char"/>
    <w:link w:val="Footer"/>
    <w:rsid w:val="00C76174"/>
    <w:rPr>
      <w:sz w:val="24"/>
      <w:szCs w:val="24"/>
    </w:rPr>
  </w:style>
  <w:style w:type="paragraph" w:styleId="BalloonText">
    <w:name w:val="Balloon Text"/>
    <w:basedOn w:val="Normal"/>
    <w:link w:val="BalloonTextChar"/>
    <w:rsid w:val="00DC4979"/>
    <w:rPr>
      <w:rFonts w:ascii="Tahoma" w:hAnsi="Tahoma" w:cs="Tahoma"/>
      <w:sz w:val="16"/>
      <w:szCs w:val="16"/>
    </w:rPr>
  </w:style>
  <w:style w:type="character" w:customStyle="1" w:styleId="BalloonTextChar">
    <w:name w:val="Balloon Text Char"/>
    <w:link w:val="BalloonText"/>
    <w:rsid w:val="00DC4979"/>
    <w:rPr>
      <w:rFonts w:ascii="Tahoma" w:hAnsi="Tahoma" w:cs="Tahoma"/>
      <w:sz w:val="16"/>
      <w:szCs w:val="16"/>
    </w:rPr>
  </w:style>
  <w:style w:type="character" w:styleId="CommentReference">
    <w:name w:val="annotation reference"/>
    <w:rsid w:val="002818A4"/>
    <w:rPr>
      <w:sz w:val="16"/>
      <w:szCs w:val="16"/>
    </w:rPr>
  </w:style>
  <w:style w:type="paragraph" w:styleId="CommentText">
    <w:name w:val="annotation text"/>
    <w:basedOn w:val="Normal"/>
    <w:link w:val="CommentTextChar"/>
    <w:rsid w:val="002818A4"/>
    <w:rPr>
      <w:sz w:val="20"/>
      <w:szCs w:val="20"/>
    </w:rPr>
  </w:style>
  <w:style w:type="character" w:customStyle="1" w:styleId="CommentTextChar">
    <w:name w:val="Comment Text Char"/>
    <w:basedOn w:val="DefaultParagraphFont"/>
    <w:link w:val="CommentText"/>
    <w:rsid w:val="002818A4"/>
  </w:style>
  <w:style w:type="paragraph" w:styleId="CommentSubject">
    <w:name w:val="annotation subject"/>
    <w:basedOn w:val="CommentText"/>
    <w:next w:val="CommentText"/>
    <w:link w:val="CommentSubjectChar"/>
    <w:rsid w:val="002818A4"/>
    <w:rPr>
      <w:b/>
      <w:bCs/>
    </w:rPr>
  </w:style>
  <w:style w:type="character" w:customStyle="1" w:styleId="CommentSubjectChar">
    <w:name w:val="Comment Subject Char"/>
    <w:link w:val="CommentSubject"/>
    <w:rsid w:val="002818A4"/>
    <w:rPr>
      <w:b/>
      <w:bCs/>
    </w:rPr>
  </w:style>
  <w:style w:type="character" w:styleId="Hyperlink">
    <w:name w:val="Hyperlink"/>
    <w:uiPriority w:val="99"/>
    <w:unhideWhenUsed/>
    <w:rsid w:val="00CD75D2"/>
    <w:rPr>
      <w:color w:val="0000FF"/>
      <w:u w:val="single"/>
    </w:rPr>
  </w:style>
  <w:style w:type="table" w:styleId="TableGrid">
    <w:name w:val="Table Grid"/>
    <w:basedOn w:val="TableNormal"/>
    <w:rsid w:val="00541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7049"/>
    <w:rPr>
      <w:sz w:val="24"/>
      <w:szCs w:val="24"/>
    </w:rPr>
  </w:style>
  <w:style w:type="paragraph" w:styleId="NormalWeb">
    <w:name w:val="Normal (Web)"/>
    <w:basedOn w:val="Normal"/>
    <w:uiPriority w:val="99"/>
    <w:unhideWhenUsed/>
    <w:rsid w:val="001D2072"/>
    <w:pPr>
      <w:spacing w:before="100" w:beforeAutospacing="1" w:after="100" w:afterAutospacing="1"/>
    </w:pPr>
  </w:style>
  <w:style w:type="paragraph" w:styleId="TOCHeading">
    <w:name w:val="TOC Heading"/>
    <w:basedOn w:val="Heading1"/>
    <w:next w:val="Normal"/>
    <w:uiPriority w:val="39"/>
    <w:unhideWhenUsed/>
    <w:qFormat/>
    <w:rsid w:val="00231C80"/>
    <w:pPr>
      <w:keepLines/>
      <w:spacing w:before="240" w:line="259" w:lineRule="auto"/>
      <w:outlineLvl w:val="9"/>
    </w:pPr>
    <w:rPr>
      <w:rFonts w:asciiTheme="majorHAnsi" w:eastAsiaTheme="majorEastAsia" w:hAnsiTheme="majorHAnsi" w:cstheme="majorBidi"/>
      <w:b w:val="0"/>
      <w:color w:val="0F4761" w:themeColor="accent1" w:themeShade="BF"/>
      <w:sz w:val="32"/>
      <w:szCs w:val="32"/>
      <w:lang w:eastAsia="en-GB"/>
    </w:rPr>
  </w:style>
  <w:style w:type="paragraph" w:styleId="TOC2">
    <w:name w:val="toc 2"/>
    <w:basedOn w:val="Normal"/>
    <w:next w:val="Normal"/>
    <w:autoRedefine/>
    <w:uiPriority w:val="39"/>
    <w:unhideWhenUsed/>
    <w:rsid w:val="0067330A"/>
    <w:pPr>
      <w:tabs>
        <w:tab w:val="right" w:leader="dot" w:pos="8296"/>
      </w:tabs>
      <w:spacing w:after="100" w:line="259" w:lineRule="auto"/>
      <w:ind w:left="426"/>
    </w:pPr>
    <w:rPr>
      <w:rFonts w:asciiTheme="minorHAnsi" w:eastAsiaTheme="minorEastAsia" w:hAnsiTheme="minorHAnsi"/>
      <w:sz w:val="22"/>
      <w:szCs w:val="22"/>
    </w:rPr>
  </w:style>
  <w:style w:type="paragraph" w:styleId="TOC1">
    <w:name w:val="toc 1"/>
    <w:basedOn w:val="Normal"/>
    <w:next w:val="Normal"/>
    <w:autoRedefine/>
    <w:uiPriority w:val="39"/>
    <w:unhideWhenUsed/>
    <w:rsid w:val="002B4D06"/>
    <w:pPr>
      <w:tabs>
        <w:tab w:val="left" w:pos="440"/>
        <w:tab w:val="right" w:leader="dot" w:pos="8296"/>
      </w:tabs>
      <w:spacing w:after="100" w:line="259" w:lineRule="auto"/>
      <w:ind w:left="426" w:hanging="284"/>
    </w:pPr>
    <w:rPr>
      <w:rFonts w:asciiTheme="minorHAnsi" w:eastAsiaTheme="minorEastAsia" w:hAnsiTheme="minorHAnsi"/>
      <w:sz w:val="22"/>
      <w:szCs w:val="22"/>
    </w:rPr>
  </w:style>
  <w:style w:type="paragraph" w:styleId="TOC3">
    <w:name w:val="toc 3"/>
    <w:basedOn w:val="Normal"/>
    <w:next w:val="Normal"/>
    <w:autoRedefine/>
    <w:uiPriority w:val="39"/>
    <w:unhideWhenUsed/>
    <w:rsid w:val="00FC6798"/>
    <w:pPr>
      <w:tabs>
        <w:tab w:val="right" w:leader="dot" w:pos="8296"/>
      </w:tabs>
      <w:spacing w:after="100" w:line="259" w:lineRule="auto"/>
      <w:ind w:left="709"/>
    </w:pPr>
    <w:rPr>
      <w:rFonts w:asciiTheme="minorHAnsi" w:eastAsiaTheme="minorEastAsia" w:hAnsiTheme="minorHAnsi"/>
      <w:sz w:val="22"/>
      <w:szCs w:val="22"/>
    </w:rPr>
  </w:style>
  <w:style w:type="character" w:customStyle="1" w:styleId="Heading4Char">
    <w:name w:val="Heading 4 Char"/>
    <w:basedOn w:val="DefaultParagraphFont"/>
    <w:link w:val="Heading4"/>
    <w:semiHidden/>
    <w:rsid w:val="00213C2C"/>
    <w:rPr>
      <w:rFonts w:asciiTheme="majorHAnsi" w:eastAsiaTheme="majorEastAsia" w:hAnsiTheme="majorHAnsi" w:cstheme="majorBidi"/>
      <w:i/>
      <w:iCs/>
      <w:color w:val="0F476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5084">
      <w:bodyDiv w:val="1"/>
      <w:marLeft w:val="0"/>
      <w:marRight w:val="0"/>
      <w:marTop w:val="0"/>
      <w:marBottom w:val="0"/>
      <w:divBdr>
        <w:top w:val="none" w:sz="0" w:space="0" w:color="auto"/>
        <w:left w:val="none" w:sz="0" w:space="0" w:color="auto"/>
        <w:bottom w:val="none" w:sz="0" w:space="0" w:color="auto"/>
        <w:right w:val="none" w:sz="0" w:space="0" w:color="auto"/>
      </w:divBdr>
    </w:div>
    <w:div w:id="103039888">
      <w:bodyDiv w:val="1"/>
      <w:marLeft w:val="0"/>
      <w:marRight w:val="0"/>
      <w:marTop w:val="0"/>
      <w:marBottom w:val="0"/>
      <w:divBdr>
        <w:top w:val="none" w:sz="0" w:space="0" w:color="auto"/>
        <w:left w:val="none" w:sz="0" w:space="0" w:color="auto"/>
        <w:bottom w:val="none" w:sz="0" w:space="0" w:color="auto"/>
        <w:right w:val="none" w:sz="0" w:space="0" w:color="auto"/>
      </w:divBdr>
    </w:div>
    <w:div w:id="156965520">
      <w:bodyDiv w:val="1"/>
      <w:marLeft w:val="0"/>
      <w:marRight w:val="0"/>
      <w:marTop w:val="0"/>
      <w:marBottom w:val="0"/>
      <w:divBdr>
        <w:top w:val="none" w:sz="0" w:space="0" w:color="auto"/>
        <w:left w:val="none" w:sz="0" w:space="0" w:color="auto"/>
        <w:bottom w:val="none" w:sz="0" w:space="0" w:color="auto"/>
        <w:right w:val="none" w:sz="0" w:space="0" w:color="auto"/>
      </w:divBdr>
    </w:div>
    <w:div w:id="359165677">
      <w:bodyDiv w:val="1"/>
      <w:marLeft w:val="0"/>
      <w:marRight w:val="0"/>
      <w:marTop w:val="0"/>
      <w:marBottom w:val="0"/>
      <w:divBdr>
        <w:top w:val="none" w:sz="0" w:space="0" w:color="auto"/>
        <w:left w:val="none" w:sz="0" w:space="0" w:color="auto"/>
        <w:bottom w:val="none" w:sz="0" w:space="0" w:color="auto"/>
        <w:right w:val="none" w:sz="0" w:space="0" w:color="auto"/>
      </w:divBdr>
    </w:div>
    <w:div w:id="363096519">
      <w:bodyDiv w:val="1"/>
      <w:marLeft w:val="0"/>
      <w:marRight w:val="0"/>
      <w:marTop w:val="0"/>
      <w:marBottom w:val="0"/>
      <w:divBdr>
        <w:top w:val="none" w:sz="0" w:space="0" w:color="auto"/>
        <w:left w:val="none" w:sz="0" w:space="0" w:color="auto"/>
        <w:bottom w:val="none" w:sz="0" w:space="0" w:color="auto"/>
        <w:right w:val="none" w:sz="0" w:space="0" w:color="auto"/>
      </w:divBdr>
    </w:div>
    <w:div w:id="372313812">
      <w:bodyDiv w:val="1"/>
      <w:marLeft w:val="0"/>
      <w:marRight w:val="0"/>
      <w:marTop w:val="0"/>
      <w:marBottom w:val="0"/>
      <w:divBdr>
        <w:top w:val="none" w:sz="0" w:space="0" w:color="auto"/>
        <w:left w:val="none" w:sz="0" w:space="0" w:color="auto"/>
        <w:bottom w:val="none" w:sz="0" w:space="0" w:color="auto"/>
        <w:right w:val="none" w:sz="0" w:space="0" w:color="auto"/>
      </w:divBdr>
    </w:div>
    <w:div w:id="432634086">
      <w:bodyDiv w:val="1"/>
      <w:marLeft w:val="0"/>
      <w:marRight w:val="0"/>
      <w:marTop w:val="0"/>
      <w:marBottom w:val="0"/>
      <w:divBdr>
        <w:top w:val="none" w:sz="0" w:space="0" w:color="auto"/>
        <w:left w:val="none" w:sz="0" w:space="0" w:color="auto"/>
        <w:bottom w:val="none" w:sz="0" w:space="0" w:color="auto"/>
        <w:right w:val="none" w:sz="0" w:space="0" w:color="auto"/>
      </w:divBdr>
    </w:div>
    <w:div w:id="582183251">
      <w:bodyDiv w:val="1"/>
      <w:marLeft w:val="0"/>
      <w:marRight w:val="0"/>
      <w:marTop w:val="0"/>
      <w:marBottom w:val="0"/>
      <w:divBdr>
        <w:top w:val="none" w:sz="0" w:space="0" w:color="auto"/>
        <w:left w:val="none" w:sz="0" w:space="0" w:color="auto"/>
        <w:bottom w:val="none" w:sz="0" w:space="0" w:color="auto"/>
        <w:right w:val="none" w:sz="0" w:space="0" w:color="auto"/>
      </w:divBdr>
    </w:div>
    <w:div w:id="707724800">
      <w:bodyDiv w:val="1"/>
      <w:marLeft w:val="0"/>
      <w:marRight w:val="0"/>
      <w:marTop w:val="0"/>
      <w:marBottom w:val="0"/>
      <w:divBdr>
        <w:top w:val="none" w:sz="0" w:space="0" w:color="auto"/>
        <w:left w:val="none" w:sz="0" w:space="0" w:color="auto"/>
        <w:bottom w:val="none" w:sz="0" w:space="0" w:color="auto"/>
        <w:right w:val="none" w:sz="0" w:space="0" w:color="auto"/>
      </w:divBdr>
    </w:div>
    <w:div w:id="720053481">
      <w:bodyDiv w:val="1"/>
      <w:marLeft w:val="0"/>
      <w:marRight w:val="0"/>
      <w:marTop w:val="0"/>
      <w:marBottom w:val="0"/>
      <w:divBdr>
        <w:top w:val="none" w:sz="0" w:space="0" w:color="auto"/>
        <w:left w:val="none" w:sz="0" w:space="0" w:color="auto"/>
        <w:bottom w:val="none" w:sz="0" w:space="0" w:color="auto"/>
        <w:right w:val="none" w:sz="0" w:space="0" w:color="auto"/>
      </w:divBdr>
    </w:div>
    <w:div w:id="849878956">
      <w:bodyDiv w:val="1"/>
      <w:marLeft w:val="0"/>
      <w:marRight w:val="0"/>
      <w:marTop w:val="0"/>
      <w:marBottom w:val="0"/>
      <w:divBdr>
        <w:top w:val="none" w:sz="0" w:space="0" w:color="auto"/>
        <w:left w:val="none" w:sz="0" w:space="0" w:color="auto"/>
        <w:bottom w:val="none" w:sz="0" w:space="0" w:color="auto"/>
        <w:right w:val="none" w:sz="0" w:space="0" w:color="auto"/>
      </w:divBdr>
    </w:div>
    <w:div w:id="900556009">
      <w:bodyDiv w:val="1"/>
      <w:marLeft w:val="0"/>
      <w:marRight w:val="0"/>
      <w:marTop w:val="0"/>
      <w:marBottom w:val="0"/>
      <w:divBdr>
        <w:top w:val="none" w:sz="0" w:space="0" w:color="auto"/>
        <w:left w:val="none" w:sz="0" w:space="0" w:color="auto"/>
        <w:bottom w:val="none" w:sz="0" w:space="0" w:color="auto"/>
        <w:right w:val="none" w:sz="0" w:space="0" w:color="auto"/>
      </w:divBdr>
    </w:div>
    <w:div w:id="1174027078">
      <w:bodyDiv w:val="1"/>
      <w:marLeft w:val="0"/>
      <w:marRight w:val="0"/>
      <w:marTop w:val="0"/>
      <w:marBottom w:val="0"/>
      <w:divBdr>
        <w:top w:val="none" w:sz="0" w:space="0" w:color="auto"/>
        <w:left w:val="none" w:sz="0" w:space="0" w:color="auto"/>
        <w:bottom w:val="none" w:sz="0" w:space="0" w:color="auto"/>
        <w:right w:val="none" w:sz="0" w:space="0" w:color="auto"/>
      </w:divBdr>
    </w:div>
    <w:div w:id="1189678418">
      <w:bodyDiv w:val="1"/>
      <w:marLeft w:val="0"/>
      <w:marRight w:val="0"/>
      <w:marTop w:val="0"/>
      <w:marBottom w:val="0"/>
      <w:divBdr>
        <w:top w:val="none" w:sz="0" w:space="0" w:color="auto"/>
        <w:left w:val="none" w:sz="0" w:space="0" w:color="auto"/>
        <w:bottom w:val="none" w:sz="0" w:space="0" w:color="auto"/>
        <w:right w:val="none" w:sz="0" w:space="0" w:color="auto"/>
      </w:divBdr>
    </w:div>
    <w:div w:id="1458597191">
      <w:bodyDiv w:val="1"/>
      <w:marLeft w:val="0"/>
      <w:marRight w:val="0"/>
      <w:marTop w:val="0"/>
      <w:marBottom w:val="0"/>
      <w:divBdr>
        <w:top w:val="none" w:sz="0" w:space="0" w:color="auto"/>
        <w:left w:val="none" w:sz="0" w:space="0" w:color="auto"/>
        <w:bottom w:val="none" w:sz="0" w:space="0" w:color="auto"/>
        <w:right w:val="none" w:sz="0" w:space="0" w:color="auto"/>
      </w:divBdr>
    </w:div>
    <w:div w:id="1638754902">
      <w:bodyDiv w:val="1"/>
      <w:marLeft w:val="0"/>
      <w:marRight w:val="0"/>
      <w:marTop w:val="0"/>
      <w:marBottom w:val="0"/>
      <w:divBdr>
        <w:top w:val="none" w:sz="0" w:space="0" w:color="auto"/>
        <w:left w:val="none" w:sz="0" w:space="0" w:color="auto"/>
        <w:bottom w:val="none" w:sz="0" w:space="0" w:color="auto"/>
        <w:right w:val="none" w:sz="0" w:space="0" w:color="auto"/>
      </w:divBdr>
    </w:div>
    <w:div w:id="1714773400">
      <w:bodyDiv w:val="1"/>
      <w:marLeft w:val="0"/>
      <w:marRight w:val="0"/>
      <w:marTop w:val="0"/>
      <w:marBottom w:val="0"/>
      <w:divBdr>
        <w:top w:val="none" w:sz="0" w:space="0" w:color="auto"/>
        <w:left w:val="none" w:sz="0" w:space="0" w:color="auto"/>
        <w:bottom w:val="none" w:sz="0" w:space="0" w:color="auto"/>
        <w:right w:val="none" w:sz="0" w:space="0" w:color="auto"/>
      </w:divBdr>
    </w:div>
    <w:div w:id="1759596969">
      <w:bodyDiv w:val="1"/>
      <w:marLeft w:val="0"/>
      <w:marRight w:val="0"/>
      <w:marTop w:val="0"/>
      <w:marBottom w:val="0"/>
      <w:divBdr>
        <w:top w:val="none" w:sz="0" w:space="0" w:color="auto"/>
        <w:left w:val="none" w:sz="0" w:space="0" w:color="auto"/>
        <w:bottom w:val="none" w:sz="0" w:space="0" w:color="auto"/>
        <w:right w:val="none" w:sz="0" w:space="0" w:color="auto"/>
      </w:divBdr>
    </w:div>
    <w:div w:id="1769232058">
      <w:bodyDiv w:val="1"/>
      <w:marLeft w:val="0"/>
      <w:marRight w:val="0"/>
      <w:marTop w:val="0"/>
      <w:marBottom w:val="0"/>
      <w:divBdr>
        <w:top w:val="none" w:sz="0" w:space="0" w:color="auto"/>
        <w:left w:val="none" w:sz="0" w:space="0" w:color="auto"/>
        <w:bottom w:val="none" w:sz="0" w:space="0" w:color="auto"/>
        <w:right w:val="none" w:sz="0" w:space="0" w:color="auto"/>
      </w:divBdr>
    </w:div>
    <w:div w:id="1917133096">
      <w:bodyDiv w:val="1"/>
      <w:marLeft w:val="0"/>
      <w:marRight w:val="0"/>
      <w:marTop w:val="0"/>
      <w:marBottom w:val="0"/>
      <w:divBdr>
        <w:top w:val="none" w:sz="0" w:space="0" w:color="auto"/>
        <w:left w:val="none" w:sz="0" w:space="0" w:color="auto"/>
        <w:bottom w:val="none" w:sz="0" w:space="0" w:color="auto"/>
        <w:right w:val="none" w:sz="0" w:space="0" w:color="auto"/>
      </w:divBdr>
    </w:div>
    <w:div w:id="208675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7a4bcf-e062-4c34-a74d-ed25405442ca" xsi:nil="true"/>
    <lcf76f155ced4ddcb4097134ff3c332f xmlns="a5a05ec8-727c-4da6-bc0e-660eb41546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29EFAE35722949BF02151C2308424C" ma:contentTypeVersion="15" ma:contentTypeDescription="Create a new document." ma:contentTypeScope="" ma:versionID="d8ed9b2d6b0bc05fab54a0215e486d2e">
  <xsd:schema xmlns:xsd="http://www.w3.org/2001/XMLSchema" xmlns:xs="http://www.w3.org/2001/XMLSchema" xmlns:p="http://schemas.microsoft.com/office/2006/metadata/properties" xmlns:ns2="a5a05ec8-727c-4da6-bc0e-660eb41546d5" xmlns:ns3="f57a4bcf-e062-4c34-a74d-ed25405442ca" targetNamespace="http://schemas.microsoft.com/office/2006/metadata/properties" ma:root="true" ma:fieldsID="7a9850dde0a7a22676ee561cd97425ee" ns2:_="" ns3:_="">
    <xsd:import namespace="a5a05ec8-727c-4da6-bc0e-660eb41546d5"/>
    <xsd:import namespace="f57a4bcf-e062-4c34-a74d-ed25405442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05ec8-727c-4da6-bc0e-660eb4154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9276cc-6f02-4328-8dd9-aefcde40ea4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7a4bcf-e062-4c34-a74d-ed25405442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6242cd7-0af3-436f-8f67-a341b5ecd2d9}" ma:internalName="TaxCatchAll" ma:showField="CatchAllData" ma:web="f57a4bcf-e062-4c34-a74d-ed25405442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9C908A-27EA-4A73-93F2-F0C29830B9B0}">
  <ds:schemaRefs>
    <ds:schemaRef ds:uri="http://schemas.microsoft.com/office/2006/metadata/properties"/>
    <ds:schemaRef ds:uri="http://schemas.microsoft.com/office/infopath/2007/PartnerControls"/>
    <ds:schemaRef ds:uri="f57a4bcf-e062-4c34-a74d-ed25405442ca"/>
    <ds:schemaRef ds:uri="a5a05ec8-727c-4da6-bc0e-660eb41546d5"/>
  </ds:schemaRefs>
</ds:datastoreItem>
</file>

<file path=customXml/itemProps2.xml><?xml version="1.0" encoding="utf-8"?>
<ds:datastoreItem xmlns:ds="http://schemas.openxmlformats.org/officeDocument/2006/customXml" ds:itemID="{5F198BFA-1F18-4221-9F60-893257B2D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05ec8-727c-4da6-bc0e-660eb41546d5"/>
    <ds:schemaRef ds:uri="f57a4bcf-e062-4c34-a74d-ed2540544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A2510-EB31-4888-ADF7-6F1E42BCEACF}">
  <ds:schemaRefs>
    <ds:schemaRef ds:uri="http://schemas.openxmlformats.org/officeDocument/2006/bibliography"/>
  </ds:schemaRefs>
</ds:datastoreItem>
</file>

<file path=customXml/itemProps4.xml><?xml version="1.0" encoding="utf-8"?>
<ds:datastoreItem xmlns:ds="http://schemas.openxmlformats.org/officeDocument/2006/customXml" ds:itemID="{247F810F-59EA-4115-A74C-99C8C7EF9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10</Pages>
  <Words>3322</Words>
  <Characters>19173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Pay Policy Statement</vt:lpstr>
    </vt:vector>
  </TitlesOfParts>
  <Company>TWFRS</Company>
  <LinksUpToDate>false</LinksUpToDate>
  <CharactersWithSpaces>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Policy Statement</dc:title>
  <dc:subject/>
  <dc:creator>finance7</dc:creator>
  <cp:keywords/>
  <cp:lastModifiedBy>Matthew Calvert</cp:lastModifiedBy>
  <cp:revision>37</cp:revision>
  <cp:lastPrinted>2020-03-02T10:35:00Z</cp:lastPrinted>
  <dcterms:created xsi:type="dcterms:W3CDTF">2025-03-28T10:43:00Z</dcterms:created>
  <dcterms:modified xsi:type="dcterms:W3CDTF">2025-03-31T12:37:00Z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879be06e-4ba3-45d6-97c4-fbbfbd2d7459</vt:lpwstr>
  </property>
  <property fmtid="{D5CDD505-2E9C-101B-9397-08002B2CF9AE}" pid="3" name="TWFRSClassification">
    <vt:lpwstr>OFFICIAL</vt:lpwstr>
  </property>
  <property fmtid="{D5CDD505-2E9C-101B-9397-08002B2CF9AE}" pid="4" name="ContentTypeId">
    <vt:lpwstr>0x010100E629EFAE35722949BF02151C2308424C</vt:lpwstr>
  </property>
  <property fmtid="{D5CDD505-2E9C-101B-9397-08002B2CF9AE}" pid="5" name="MediaServiceImageTags">
    <vt:lpwstr/>
  </property>
</Properties>
</file>